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40" w:rsidRPr="00CA5FD4"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noProof/>
          <w:color w:val="525252" w:themeColor="accent3" w:themeShade="80"/>
          <w:sz w:val="28"/>
          <w:szCs w:val="28"/>
          <w:lang w:eastAsia="ru-RU"/>
        </w:rPr>
        <w:drawing>
          <wp:inline distT="0" distB="0" distL="0" distR="0" wp14:anchorId="61478F9E" wp14:editId="115D899A">
            <wp:extent cx="636043" cy="76087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 Юрьевич\Desktop\Gerb[2].jpg"/>
                    <pic:cNvPicPr>
                      <a:picLocks noChangeAspect="1" noChangeArrowheads="1"/>
                    </pic:cNvPicPr>
                  </pic:nvPicPr>
                  <pic:blipFill>
                    <a:blip r:embed="rId8" cstate="print"/>
                    <a:srcRect/>
                    <a:stretch>
                      <a:fillRect/>
                    </a:stretch>
                  </pic:blipFill>
                  <pic:spPr bwMode="auto">
                    <a:xfrm>
                      <a:off x="0" y="0"/>
                      <a:ext cx="637232" cy="762296"/>
                    </a:xfrm>
                    <a:prstGeom prst="rect">
                      <a:avLst/>
                    </a:prstGeom>
                    <a:noFill/>
                    <a:ln w="9525">
                      <a:noFill/>
                      <a:miter lim="800000"/>
                      <a:headEnd/>
                      <a:tailEnd/>
                    </a:ln>
                  </pic:spPr>
                </pic:pic>
              </a:graphicData>
            </a:graphic>
          </wp:inline>
        </w:drawing>
      </w:r>
    </w:p>
    <w:p w:rsidR="00831140" w:rsidRPr="00CA5FD4"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Cambria"/>
          <w:b/>
          <w:color w:val="525252" w:themeColor="accent3" w:themeShade="80"/>
          <w:sz w:val="28"/>
          <w:szCs w:val="28"/>
          <w:lang w:eastAsia="ru-RU"/>
        </w:rPr>
        <w:t>АДМИНИСТРАЦИЯ</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КОЧКОВСКОГО</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РАЙОНА</w:t>
      </w:r>
      <w:r w:rsidRPr="00CA5FD4">
        <w:rPr>
          <w:rFonts w:ascii="Bookman Old Style" w:eastAsia="Times New Roman" w:hAnsi="Bookman Old Style" w:cs="Times New Roman"/>
          <w:b/>
          <w:color w:val="525252" w:themeColor="accent3" w:themeShade="80"/>
          <w:sz w:val="28"/>
          <w:szCs w:val="28"/>
          <w:lang w:eastAsia="ru-RU"/>
        </w:rPr>
        <w:t xml:space="preserve"> </w:t>
      </w:r>
    </w:p>
    <w:p w:rsidR="00831140" w:rsidRPr="00CA5FD4" w:rsidRDefault="00831140" w:rsidP="009B4C92">
      <w:pPr>
        <w:autoSpaceDE w:val="0"/>
        <w:autoSpaceDN w:val="0"/>
        <w:adjustRightInd w:val="0"/>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Cambria"/>
          <w:b/>
          <w:color w:val="525252" w:themeColor="accent3" w:themeShade="80"/>
          <w:sz w:val="28"/>
          <w:szCs w:val="28"/>
          <w:lang w:eastAsia="ru-RU"/>
        </w:rPr>
        <w:t>НОВОСИБИРСКОЙ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ОБЛАСТИ</w:t>
      </w: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Cambria"/>
          <w:b/>
          <w:color w:val="525252" w:themeColor="accent3" w:themeShade="80"/>
          <w:sz w:val="28"/>
          <w:szCs w:val="28"/>
          <w:lang w:eastAsia="ru-RU"/>
        </w:rPr>
        <w:t>Доклад</w:t>
      </w: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Cambria"/>
          <w:b/>
          <w:color w:val="525252" w:themeColor="accent3" w:themeShade="80"/>
          <w:sz w:val="28"/>
          <w:szCs w:val="28"/>
          <w:lang w:eastAsia="ru-RU"/>
        </w:rPr>
        <w:t>Главы</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Кочковского</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района</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Новосибирской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области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Петра</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Александровича</w:t>
      </w:r>
      <w:r w:rsidRPr="00CA5FD4">
        <w:rPr>
          <w:rFonts w:ascii="Bookman Old Style" w:eastAsia="Times New Roman" w:hAnsi="Bookman Old Style" w:cs="Times New Roman"/>
          <w:b/>
          <w:color w:val="525252" w:themeColor="accent3" w:themeShade="80"/>
          <w:sz w:val="28"/>
          <w:szCs w:val="28"/>
          <w:lang w:eastAsia="ru-RU"/>
        </w:rPr>
        <w:t xml:space="preserve"> </w:t>
      </w:r>
      <w:proofErr w:type="spellStart"/>
      <w:r w:rsidRPr="00CA5FD4">
        <w:rPr>
          <w:rFonts w:ascii="Bookman Old Style" w:eastAsia="Times New Roman" w:hAnsi="Bookman Old Style" w:cs="Cambria"/>
          <w:b/>
          <w:color w:val="525252" w:themeColor="accent3" w:themeShade="80"/>
          <w:sz w:val="28"/>
          <w:szCs w:val="28"/>
          <w:lang w:eastAsia="ru-RU"/>
        </w:rPr>
        <w:t>Шилина</w:t>
      </w:r>
      <w:proofErr w:type="spellEnd"/>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достигнутых</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значениях</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показателей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для</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оценки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эффективности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деятельности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органов</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местного</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самоуправления</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Кочковского</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района</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Новосибирской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области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за</w:t>
      </w:r>
      <w:r w:rsidRPr="00CA5FD4">
        <w:rPr>
          <w:rFonts w:ascii="Bookman Old Style" w:eastAsia="Times New Roman" w:hAnsi="Bookman Old Style" w:cs="Times New Roman"/>
          <w:b/>
          <w:color w:val="525252" w:themeColor="accent3" w:themeShade="80"/>
          <w:sz w:val="28"/>
          <w:szCs w:val="28"/>
          <w:lang w:eastAsia="ru-RU"/>
        </w:rPr>
        <w:t xml:space="preserve"> 20</w:t>
      </w:r>
      <w:r w:rsidR="003A7E4B" w:rsidRPr="00CA5FD4">
        <w:rPr>
          <w:rFonts w:ascii="Bookman Old Style" w:eastAsia="Times New Roman" w:hAnsi="Bookman Old Style" w:cs="Times New Roman"/>
          <w:b/>
          <w:color w:val="525252" w:themeColor="accent3" w:themeShade="80"/>
          <w:sz w:val="28"/>
          <w:szCs w:val="28"/>
          <w:lang w:eastAsia="ru-RU"/>
        </w:rPr>
        <w:t>2</w:t>
      </w:r>
      <w:r w:rsidR="00566E0C" w:rsidRPr="00CA5FD4">
        <w:rPr>
          <w:rFonts w:ascii="Bookman Old Style" w:eastAsia="Times New Roman" w:hAnsi="Bookman Old Style" w:cs="Times New Roman"/>
          <w:b/>
          <w:color w:val="525252" w:themeColor="accent3" w:themeShade="80"/>
          <w:sz w:val="28"/>
          <w:szCs w:val="28"/>
          <w:lang w:eastAsia="ru-RU"/>
        </w:rPr>
        <w:t>2</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год</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и</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их</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планируемых</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значениях</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на</w:t>
      </w:r>
      <w:r w:rsidRPr="00CA5FD4">
        <w:rPr>
          <w:rFonts w:ascii="Bookman Old Style" w:eastAsia="Times New Roman" w:hAnsi="Bookman Old Style" w:cs="Times New Roman"/>
          <w:b/>
          <w:color w:val="525252" w:themeColor="accent3" w:themeShade="80"/>
          <w:sz w:val="28"/>
          <w:szCs w:val="28"/>
          <w:lang w:eastAsia="ru-RU"/>
        </w:rPr>
        <w:t xml:space="preserve"> 3-</w:t>
      </w:r>
      <w:r w:rsidRPr="00CA5FD4">
        <w:rPr>
          <w:rFonts w:ascii="Bookman Old Style" w:eastAsia="Times New Roman" w:hAnsi="Bookman Old Style" w:cs="Cambria"/>
          <w:b/>
          <w:color w:val="525252" w:themeColor="accent3" w:themeShade="80"/>
          <w:sz w:val="28"/>
          <w:szCs w:val="28"/>
          <w:lang w:eastAsia="ru-RU"/>
        </w:rPr>
        <w:t>летний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период</w:t>
      </w: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autoSpaceDE w:val="0"/>
        <w:autoSpaceDN w:val="0"/>
        <w:adjustRightInd w:val="0"/>
        <w:spacing w:after="0" w:line="276" w:lineRule="auto"/>
        <w:ind w:firstLine="540"/>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color w:val="525252" w:themeColor="accent3" w:themeShade="80"/>
          <w:sz w:val="28"/>
          <w:szCs w:val="28"/>
          <w:lang w:eastAsia="ru-RU"/>
        </w:rPr>
      </w:pPr>
    </w:p>
    <w:p w:rsidR="00F02432" w:rsidRPr="00CA5FD4" w:rsidRDefault="00F02432" w:rsidP="009B4C92">
      <w:pPr>
        <w:spacing w:after="0" w:line="276" w:lineRule="auto"/>
        <w:jc w:val="center"/>
        <w:rPr>
          <w:rFonts w:ascii="Bookman Old Style" w:eastAsia="Times New Roman" w:hAnsi="Bookman Old Style" w:cs="Cambria"/>
          <w:b/>
          <w:color w:val="525252" w:themeColor="accent3" w:themeShade="80"/>
          <w:sz w:val="28"/>
          <w:szCs w:val="28"/>
          <w:lang w:eastAsia="ru-RU"/>
        </w:rPr>
      </w:pPr>
    </w:p>
    <w:p w:rsidR="00F02432" w:rsidRPr="00CA5FD4" w:rsidRDefault="00F02432" w:rsidP="009B4C92">
      <w:pPr>
        <w:spacing w:after="0" w:line="276" w:lineRule="auto"/>
        <w:jc w:val="center"/>
        <w:rPr>
          <w:rFonts w:ascii="Bookman Old Style" w:eastAsia="Times New Roman" w:hAnsi="Bookman Old Style" w:cs="Cambria"/>
          <w:b/>
          <w:color w:val="525252" w:themeColor="accent3" w:themeShade="80"/>
          <w:sz w:val="28"/>
          <w:szCs w:val="28"/>
          <w:lang w:eastAsia="ru-RU"/>
        </w:rPr>
      </w:pPr>
    </w:p>
    <w:p w:rsidR="00FC0C01" w:rsidRPr="00CA5FD4"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Cambria"/>
          <w:b/>
          <w:color w:val="525252" w:themeColor="accent3" w:themeShade="80"/>
          <w:sz w:val="28"/>
          <w:szCs w:val="28"/>
          <w:lang w:eastAsia="ru-RU"/>
        </w:rPr>
        <w:t>Кочковский</w:t>
      </w:r>
      <w:r w:rsidRPr="00CA5FD4">
        <w:rPr>
          <w:rFonts w:ascii="Bookman Old Style" w:eastAsia="Times New Roman" w:hAnsi="Bookman Old Style" w:cs="Times New Roman"/>
          <w:b/>
          <w:color w:val="525252" w:themeColor="accent3" w:themeShade="80"/>
          <w:sz w:val="28"/>
          <w:szCs w:val="28"/>
          <w:lang w:eastAsia="ru-RU"/>
        </w:rPr>
        <w:t xml:space="preserve"> </w:t>
      </w:r>
      <w:r w:rsidRPr="00CA5FD4">
        <w:rPr>
          <w:rFonts w:ascii="Bookman Old Style" w:eastAsia="Times New Roman" w:hAnsi="Bookman Old Style" w:cs="Cambria"/>
          <w:b/>
          <w:color w:val="525252" w:themeColor="accent3" w:themeShade="80"/>
          <w:sz w:val="28"/>
          <w:szCs w:val="28"/>
          <w:lang w:eastAsia="ru-RU"/>
        </w:rPr>
        <w:t>район</w:t>
      </w:r>
      <w:r w:rsidRPr="00CA5FD4">
        <w:rPr>
          <w:rFonts w:ascii="Bookman Old Style" w:eastAsia="Times New Roman" w:hAnsi="Bookman Old Style" w:cs="Times New Roman"/>
          <w:b/>
          <w:color w:val="525252" w:themeColor="accent3" w:themeShade="80"/>
          <w:sz w:val="28"/>
          <w:szCs w:val="28"/>
          <w:lang w:eastAsia="ru-RU"/>
        </w:rPr>
        <w:t>, 20</w:t>
      </w:r>
      <w:r w:rsidR="00B562ED" w:rsidRPr="00CA5FD4">
        <w:rPr>
          <w:rFonts w:ascii="Bookman Old Style" w:eastAsia="Times New Roman" w:hAnsi="Bookman Old Style" w:cs="Times New Roman"/>
          <w:b/>
          <w:color w:val="525252" w:themeColor="accent3" w:themeShade="80"/>
          <w:sz w:val="28"/>
          <w:szCs w:val="28"/>
          <w:lang w:eastAsia="ru-RU"/>
        </w:rPr>
        <w:t>23</w:t>
      </w:r>
    </w:p>
    <w:p w:rsidR="00831140" w:rsidRPr="00CA5FD4"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lastRenderedPageBreak/>
        <w:t>ОГЛАВЛЕНИЕ</w:t>
      </w:r>
    </w:p>
    <w:p w:rsidR="00831140" w:rsidRPr="00CA5FD4"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9"/>
        <w:gridCol w:w="675"/>
      </w:tblGrid>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val="en-US" w:eastAsia="ru-RU"/>
              </w:rPr>
            </w:pPr>
            <w:r w:rsidRPr="00CA5FD4">
              <w:rPr>
                <w:rFonts w:ascii="Bookman Old Style" w:eastAsia="Times New Roman" w:hAnsi="Bookman Old Style" w:cs="Times New Roman"/>
                <w:b/>
                <w:color w:val="525252" w:themeColor="accent3" w:themeShade="80"/>
                <w:sz w:val="28"/>
                <w:szCs w:val="28"/>
                <w:lang w:eastAsia="ru-RU"/>
              </w:rPr>
              <w:t xml:space="preserve">Введение . . . . . . . . . . . . . . . . . . . . . . . . . . . . . . . . . . . . </w:t>
            </w:r>
          </w:p>
        </w:tc>
        <w:tc>
          <w:tcPr>
            <w:tcW w:w="675"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3</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I.</w:t>
            </w:r>
            <w:r w:rsidRPr="00CA5FD4">
              <w:rPr>
                <w:rFonts w:ascii="Bookman Old Style" w:eastAsia="Times New Roman" w:hAnsi="Bookman Old Style" w:cs="Times New Roman"/>
                <w:b/>
                <w:color w:val="525252" w:themeColor="accent3" w:themeShade="80"/>
                <w:sz w:val="28"/>
                <w:szCs w:val="28"/>
                <w:lang w:eastAsia="ru-RU"/>
              </w:rPr>
              <w:t xml:space="preserve"> Экономическое развитие . . . . . . . . . . . . . . . . . . . . . . </w:t>
            </w:r>
          </w:p>
        </w:tc>
        <w:tc>
          <w:tcPr>
            <w:tcW w:w="675"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4</w:t>
            </w:r>
          </w:p>
        </w:tc>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Общие сведения</w:t>
            </w:r>
            <w:proofErr w:type="gramStart"/>
            <w:r w:rsidRPr="00CA5FD4">
              <w:rPr>
                <w:rFonts w:ascii="Bookman Old Style" w:eastAsia="Times New Roman" w:hAnsi="Bookman Old Style" w:cs="Times New Roman"/>
                <w:b/>
                <w:color w:val="525252" w:themeColor="accent3" w:themeShade="80"/>
                <w:sz w:val="28"/>
                <w:szCs w:val="28"/>
                <w:lang w:eastAsia="ru-RU"/>
              </w:rPr>
              <w:t xml:space="preserve"> .</w:t>
            </w:r>
            <w:proofErr w:type="gramEnd"/>
            <w:r w:rsidRPr="00CA5FD4">
              <w:rPr>
                <w:rFonts w:ascii="Bookman Old Style" w:eastAsia="Times New Roman" w:hAnsi="Bookman Old Style" w:cs="Times New Roman"/>
                <w:b/>
                <w:color w:val="525252" w:themeColor="accent3" w:themeShade="80"/>
                <w:sz w:val="28"/>
                <w:szCs w:val="28"/>
                <w:lang w:eastAsia="ru-RU"/>
              </w:rPr>
              <w:t xml:space="preserve"> . . . . . . . . . . . . . . . . . . . . . . . . </w:t>
            </w:r>
            <w:r w:rsidR="00E57B43" w:rsidRPr="00CA5FD4">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4</w:t>
            </w:r>
          </w:p>
        </w:tc>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Сельское хозяйство</w:t>
            </w:r>
            <w:proofErr w:type="gramStart"/>
            <w:r w:rsidRPr="00CA5FD4">
              <w:rPr>
                <w:rFonts w:ascii="Bookman Old Style" w:eastAsia="Times New Roman" w:hAnsi="Bookman Old Style" w:cs="Times New Roman"/>
                <w:b/>
                <w:color w:val="525252" w:themeColor="accent3" w:themeShade="80"/>
                <w:sz w:val="28"/>
                <w:szCs w:val="28"/>
                <w:lang w:eastAsia="ru-RU"/>
              </w:rPr>
              <w:t xml:space="preserve"> .</w:t>
            </w:r>
            <w:proofErr w:type="gramEnd"/>
            <w:r w:rsidRPr="00CA5FD4">
              <w:rPr>
                <w:rFonts w:ascii="Bookman Old Style" w:eastAsia="Times New Roman" w:hAnsi="Bookman Old Style" w:cs="Times New Roman"/>
                <w:b/>
                <w:color w:val="525252" w:themeColor="accent3" w:themeShade="80"/>
                <w:sz w:val="28"/>
                <w:szCs w:val="28"/>
                <w:lang w:eastAsia="ru-RU"/>
              </w:rPr>
              <w:t xml:space="preserve"> . . . . . . . . . . . . . . . . . . . . . . </w:t>
            </w:r>
            <w:r w:rsidR="00E57B43" w:rsidRPr="00CA5FD4">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4</w:t>
            </w:r>
          </w:p>
        </w:tc>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 xml:space="preserve">Промышленность . . . . . . . . . . . . . . . . . . . . . . . . </w:t>
            </w:r>
            <w:r w:rsidR="00E57B43" w:rsidRPr="00CA5FD4">
              <w:rPr>
                <w:rFonts w:ascii="Bookman Old Style" w:eastAsia="Times New Roman" w:hAnsi="Bookman Old Style" w:cs="Times New Roman"/>
                <w:b/>
                <w:color w:val="525252" w:themeColor="accent3" w:themeShade="80"/>
                <w:sz w:val="28"/>
                <w:szCs w:val="28"/>
                <w:lang w:eastAsia="ru-RU"/>
              </w:rPr>
              <w:t xml:space="preserve">. . . </w:t>
            </w:r>
          </w:p>
        </w:tc>
        <w:tc>
          <w:tcPr>
            <w:tcW w:w="675" w:type="dxa"/>
          </w:tcPr>
          <w:p w:rsidR="00831140" w:rsidRPr="00CA5FD4"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7</w:t>
            </w:r>
          </w:p>
        </w:tc>
      </w:tr>
      <w:tr w:rsidR="00831140" w:rsidRPr="00CA5FD4" w:rsidTr="006401D8">
        <w:trPr>
          <w:trHeight w:val="38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 xml:space="preserve">Малое и среднее предпринимательство . . . . . . . </w:t>
            </w:r>
            <w:r w:rsidR="00E57B43" w:rsidRPr="00CA5FD4">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CA5FD4"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8</w:t>
            </w:r>
          </w:p>
        </w:tc>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 xml:space="preserve">Строительство и инвестиции . . . . . . . . . . . . . . . </w:t>
            </w:r>
            <w:r w:rsidR="00E57B43" w:rsidRPr="00CA5FD4">
              <w:rPr>
                <w:rFonts w:ascii="Bookman Old Style" w:eastAsia="Times New Roman" w:hAnsi="Bookman Old Style" w:cs="Times New Roman"/>
                <w:b/>
                <w:color w:val="525252" w:themeColor="accent3" w:themeShade="80"/>
                <w:sz w:val="28"/>
                <w:szCs w:val="28"/>
                <w:lang w:eastAsia="ru-RU"/>
              </w:rPr>
              <w:t>. . .</w:t>
            </w:r>
          </w:p>
        </w:tc>
        <w:tc>
          <w:tcPr>
            <w:tcW w:w="675" w:type="dxa"/>
          </w:tcPr>
          <w:p w:rsidR="00831140" w:rsidRPr="00CA5FD4"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10</w:t>
            </w:r>
          </w:p>
        </w:tc>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 xml:space="preserve">Доходы населения . . . . . . . . . . . . . . . . . . . . . . . </w:t>
            </w:r>
            <w:r w:rsidR="00E57B43" w:rsidRPr="00CA5FD4">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CA5FD4" w:rsidRDefault="006401D8"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12</w:t>
            </w:r>
          </w:p>
        </w:tc>
        <w:bookmarkStart w:id="0" w:name="_GoBack"/>
        <w:bookmarkEnd w:id="0"/>
      </w:tr>
      <w:tr w:rsidR="00831140" w:rsidRPr="00CA5FD4" w:rsidTr="006401D8">
        <w:trPr>
          <w:trHeight w:val="361"/>
        </w:trPr>
        <w:tc>
          <w:tcPr>
            <w:tcW w:w="8679" w:type="dxa"/>
          </w:tcPr>
          <w:p w:rsidR="00831140" w:rsidRPr="00CA5FD4" w:rsidRDefault="00831140" w:rsidP="009B4C92">
            <w:pPr>
              <w:spacing w:line="276" w:lineRule="auto"/>
              <w:ind w:left="462"/>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 xml:space="preserve">Дорожное хозяйство и транспорт . . . . . . . . . . . </w:t>
            </w:r>
            <w:r w:rsidR="00E57B43" w:rsidRPr="00CA5FD4">
              <w:rPr>
                <w:rFonts w:ascii="Bookman Old Style" w:eastAsia="Times New Roman" w:hAnsi="Bookman Old Style" w:cs="Times New Roman"/>
                <w:b/>
                <w:color w:val="525252" w:themeColor="accent3" w:themeShade="80"/>
                <w:sz w:val="28"/>
                <w:szCs w:val="28"/>
                <w:lang w:eastAsia="ru-RU"/>
              </w:rPr>
              <w:t>.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401D8" w:rsidRPr="00CA5FD4">
              <w:rPr>
                <w:rFonts w:ascii="Bookman Old Style" w:eastAsia="Times New Roman" w:hAnsi="Bookman Old Style" w:cs="Times New Roman"/>
                <w:b/>
                <w:color w:val="525252" w:themeColor="accent3" w:themeShade="80"/>
                <w:sz w:val="28"/>
                <w:szCs w:val="28"/>
                <w:lang w:eastAsia="ru-RU"/>
              </w:rPr>
              <w:t>2</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II</w:t>
            </w:r>
            <w:r w:rsidRPr="00CA5FD4">
              <w:rPr>
                <w:rFonts w:ascii="Bookman Old Style" w:eastAsia="Times New Roman" w:hAnsi="Bookman Old Style" w:cs="Times New Roman"/>
                <w:b/>
                <w:color w:val="525252" w:themeColor="accent3" w:themeShade="80"/>
                <w:sz w:val="28"/>
                <w:szCs w:val="28"/>
                <w:lang w:eastAsia="ru-RU"/>
              </w:rPr>
              <w:t xml:space="preserve">. Здравоохранение и здоровье населения . . .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D239B" w:rsidRPr="00CA5FD4">
              <w:rPr>
                <w:rFonts w:ascii="Bookman Old Style" w:eastAsia="Times New Roman" w:hAnsi="Bookman Old Style" w:cs="Times New Roman"/>
                <w:b/>
                <w:color w:val="525252" w:themeColor="accent3" w:themeShade="80"/>
                <w:sz w:val="28"/>
                <w:szCs w:val="28"/>
                <w:lang w:eastAsia="ru-RU"/>
              </w:rPr>
              <w:t>4</w:t>
            </w:r>
          </w:p>
        </w:tc>
      </w:tr>
      <w:tr w:rsidR="00831140" w:rsidRPr="00CA5FD4" w:rsidTr="006401D8">
        <w:trPr>
          <w:trHeight w:val="38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III</w:t>
            </w:r>
            <w:r w:rsidRPr="00CA5FD4">
              <w:rPr>
                <w:rFonts w:ascii="Bookman Old Style" w:eastAsia="Times New Roman" w:hAnsi="Bookman Old Style" w:cs="Times New Roman"/>
                <w:b/>
                <w:color w:val="525252" w:themeColor="accent3" w:themeShade="80"/>
                <w:sz w:val="28"/>
                <w:szCs w:val="28"/>
                <w:lang w:eastAsia="ru-RU"/>
              </w:rPr>
              <w:t xml:space="preserve">. Образование . . . . . . . . . . . . . . . . . . . . . . . .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554C3F" w:rsidRPr="00CA5FD4">
              <w:rPr>
                <w:rFonts w:ascii="Bookman Old Style" w:eastAsia="Times New Roman" w:hAnsi="Bookman Old Style" w:cs="Times New Roman"/>
                <w:b/>
                <w:color w:val="525252" w:themeColor="accent3" w:themeShade="80"/>
                <w:sz w:val="28"/>
                <w:szCs w:val="28"/>
                <w:lang w:eastAsia="ru-RU"/>
              </w:rPr>
              <w:t>4</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IV</w:t>
            </w:r>
            <w:r w:rsidRPr="00CA5FD4">
              <w:rPr>
                <w:rFonts w:ascii="Bookman Old Style" w:eastAsia="Times New Roman" w:hAnsi="Bookman Old Style" w:cs="Times New Roman"/>
                <w:b/>
                <w:color w:val="525252" w:themeColor="accent3" w:themeShade="80"/>
                <w:sz w:val="28"/>
                <w:szCs w:val="28"/>
                <w:lang w:eastAsia="ru-RU"/>
              </w:rPr>
              <w:t xml:space="preserve">. Культура . . . . . . . . . . . . . . . . . . . . . . . . . . .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554C3F" w:rsidRPr="00CA5FD4">
              <w:rPr>
                <w:rFonts w:ascii="Bookman Old Style" w:eastAsia="Times New Roman" w:hAnsi="Bookman Old Style" w:cs="Times New Roman"/>
                <w:b/>
                <w:color w:val="525252" w:themeColor="accent3" w:themeShade="80"/>
                <w:sz w:val="28"/>
                <w:szCs w:val="28"/>
                <w:lang w:eastAsia="ru-RU"/>
              </w:rPr>
              <w:t>5</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VI</w:t>
            </w:r>
            <w:r w:rsidRPr="00CA5FD4">
              <w:rPr>
                <w:rFonts w:ascii="Bookman Old Style" w:eastAsia="Times New Roman" w:hAnsi="Bookman Old Style" w:cs="Times New Roman"/>
                <w:b/>
                <w:color w:val="525252" w:themeColor="accent3" w:themeShade="80"/>
                <w:sz w:val="28"/>
                <w:szCs w:val="28"/>
                <w:lang w:eastAsia="ru-RU"/>
              </w:rPr>
              <w:t xml:space="preserve">. Физическая культура и спорт . . . . . . . . . .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401D8" w:rsidRPr="00CA5FD4">
              <w:rPr>
                <w:rFonts w:ascii="Bookman Old Style" w:eastAsia="Times New Roman" w:hAnsi="Bookman Old Style" w:cs="Times New Roman"/>
                <w:b/>
                <w:color w:val="525252" w:themeColor="accent3" w:themeShade="80"/>
                <w:sz w:val="28"/>
                <w:szCs w:val="28"/>
                <w:lang w:eastAsia="ru-RU"/>
              </w:rPr>
              <w:t>5</w:t>
            </w:r>
          </w:p>
        </w:tc>
      </w:tr>
      <w:tr w:rsidR="00831140" w:rsidRPr="00CA5FD4" w:rsidTr="006401D8">
        <w:trPr>
          <w:trHeight w:val="361"/>
        </w:trPr>
        <w:tc>
          <w:tcPr>
            <w:tcW w:w="8679" w:type="dxa"/>
          </w:tcPr>
          <w:p w:rsidR="00831140" w:rsidRPr="00CA5FD4" w:rsidRDefault="00831140" w:rsidP="009B4C92">
            <w:pPr>
              <w:spacing w:line="276" w:lineRule="auto"/>
              <w:jc w:val="both"/>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VII</w:t>
            </w:r>
            <w:r w:rsidRPr="00CA5FD4">
              <w:rPr>
                <w:rFonts w:ascii="Bookman Old Style" w:eastAsia="Times New Roman" w:hAnsi="Bookman Old Style" w:cs="Times New Roman"/>
                <w:b/>
                <w:color w:val="525252" w:themeColor="accent3" w:themeShade="80"/>
                <w:sz w:val="28"/>
                <w:szCs w:val="28"/>
                <w:lang w:eastAsia="ru-RU"/>
              </w:rPr>
              <w:t xml:space="preserve">. Жилищное строительство и обеспечение граждан жильем . . . . . . . . . . . . . . . . . . . . . . . . . . . . . . . . . . . . . . </w:t>
            </w:r>
          </w:p>
        </w:tc>
        <w:tc>
          <w:tcPr>
            <w:tcW w:w="675"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p>
          <w:p w:rsidR="001548D6"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401D8" w:rsidRPr="00CA5FD4">
              <w:rPr>
                <w:rFonts w:ascii="Bookman Old Style" w:eastAsia="Times New Roman" w:hAnsi="Bookman Old Style" w:cs="Times New Roman"/>
                <w:b/>
                <w:color w:val="525252" w:themeColor="accent3" w:themeShade="80"/>
                <w:sz w:val="28"/>
                <w:szCs w:val="28"/>
                <w:lang w:eastAsia="ru-RU"/>
              </w:rPr>
              <w:t>6</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VIII</w:t>
            </w:r>
            <w:r w:rsidRPr="00CA5FD4">
              <w:rPr>
                <w:rFonts w:ascii="Bookman Old Style" w:eastAsia="Times New Roman" w:hAnsi="Bookman Old Style" w:cs="Times New Roman"/>
                <w:b/>
                <w:color w:val="525252" w:themeColor="accent3" w:themeShade="80"/>
                <w:sz w:val="28"/>
                <w:szCs w:val="28"/>
                <w:lang w:eastAsia="ru-RU"/>
              </w:rPr>
              <w:t xml:space="preserve">. Жилищно-коммунальное хозяйство . . . .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401D8" w:rsidRPr="00CA5FD4">
              <w:rPr>
                <w:rFonts w:ascii="Bookman Old Style" w:eastAsia="Times New Roman" w:hAnsi="Bookman Old Style" w:cs="Times New Roman"/>
                <w:b/>
                <w:color w:val="525252" w:themeColor="accent3" w:themeShade="80"/>
                <w:sz w:val="28"/>
                <w:szCs w:val="28"/>
                <w:lang w:eastAsia="ru-RU"/>
              </w:rPr>
              <w:t>6</w:t>
            </w:r>
          </w:p>
        </w:tc>
      </w:tr>
      <w:tr w:rsidR="00831140" w:rsidRPr="00CA5FD4" w:rsidTr="006401D8">
        <w:trPr>
          <w:trHeight w:val="361"/>
        </w:trPr>
        <w:tc>
          <w:tcPr>
            <w:tcW w:w="8679" w:type="dxa"/>
          </w:tcPr>
          <w:p w:rsidR="00831140" w:rsidRPr="00CA5FD4" w:rsidRDefault="00831140"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val="en-US" w:eastAsia="ru-RU"/>
              </w:rPr>
              <w:t>IX</w:t>
            </w:r>
            <w:r w:rsidRPr="00CA5FD4">
              <w:rPr>
                <w:rFonts w:ascii="Bookman Old Style" w:eastAsia="Times New Roman" w:hAnsi="Bookman Old Style" w:cs="Times New Roman"/>
                <w:b/>
                <w:color w:val="525252" w:themeColor="accent3" w:themeShade="80"/>
                <w:sz w:val="28"/>
                <w:szCs w:val="28"/>
                <w:lang w:eastAsia="ru-RU"/>
              </w:rPr>
              <w:t xml:space="preserve">. Организация муниципального управления . . . . . . . </w:t>
            </w:r>
          </w:p>
        </w:tc>
        <w:tc>
          <w:tcPr>
            <w:tcW w:w="675" w:type="dxa"/>
          </w:tcPr>
          <w:p w:rsidR="00831140" w:rsidRPr="00CA5FD4" w:rsidRDefault="001548D6" w:rsidP="009B4C92">
            <w:pPr>
              <w:spacing w:line="276" w:lineRule="auto"/>
              <w:jc w:val="center"/>
              <w:rPr>
                <w:rFonts w:ascii="Bookman Old Style" w:eastAsia="Times New Roman" w:hAnsi="Bookman Old Style" w:cs="Times New Roman"/>
                <w:b/>
                <w:color w:val="525252" w:themeColor="accent3" w:themeShade="80"/>
                <w:sz w:val="28"/>
                <w:szCs w:val="28"/>
                <w:lang w:eastAsia="ru-RU"/>
              </w:rPr>
            </w:pPr>
            <w:r w:rsidRPr="00CA5FD4">
              <w:rPr>
                <w:rFonts w:ascii="Bookman Old Style" w:eastAsia="Times New Roman" w:hAnsi="Bookman Old Style" w:cs="Times New Roman"/>
                <w:b/>
                <w:color w:val="525252" w:themeColor="accent3" w:themeShade="80"/>
                <w:sz w:val="28"/>
                <w:szCs w:val="28"/>
                <w:lang w:eastAsia="ru-RU"/>
              </w:rPr>
              <w:t>1</w:t>
            </w:r>
            <w:r w:rsidR="006401D8" w:rsidRPr="00CA5FD4">
              <w:rPr>
                <w:rFonts w:ascii="Bookman Old Style" w:eastAsia="Times New Roman" w:hAnsi="Bookman Old Style" w:cs="Times New Roman"/>
                <w:b/>
                <w:color w:val="525252" w:themeColor="accent3" w:themeShade="80"/>
                <w:sz w:val="28"/>
                <w:szCs w:val="28"/>
                <w:lang w:eastAsia="ru-RU"/>
              </w:rPr>
              <w:t>7</w:t>
            </w:r>
          </w:p>
        </w:tc>
      </w:tr>
    </w:tbl>
    <w:p w:rsidR="00831140" w:rsidRPr="00CA5FD4"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spacing w:after="0" w:line="276" w:lineRule="auto"/>
        <w:jc w:val="center"/>
        <w:rPr>
          <w:rFonts w:ascii="Bookman Old Style" w:eastAsia="Times New Roman" w:hAnsi="Bookman Old Style" w:cs="Times New Roman"/>
          <w:b/>
          <w:color w:val="525252" w:themeColor="accent3" w:themeShade="80"/>
          <w:sz w:val="28"/>
          <w:szCs w:val="28"/>
          <w:lang w:eastAsia="ru-RU"/>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831140" w:rsidRPr="00CA5FD4" w:rsidRDefault="00831140" w:rsidP="009B4C92">
      <w:pPr>
        <w:spacing w:line="276" w:lineRule="auto"/>
        <w:rPr>
          <w:rFonts w:ascii="Bookman Old Style" w:hAnsi="Bookman Old Style" w:cs="Times New Roman"/>
          <w:sz w:val="28"/>
          <w:szCs w:val="28"/>
        </w:rPr>
      </w:pPr>
    </w:p>
    <w:p w:rsidR="00F02432" w:rsidRPr="00CA5FD4" w:rsidRDefault="00F02432" w:rsidP="009B4C92">
      <w:pPr>
        <w:spacing w:after="0" w:line="276" w:lineRule="auto"/>
        <w:ind w:firstLine="709"/>
        <w:jc w:val="both"/>
        <w:rPr>
          <w:rFonts w:ascii="Bookman Old Style" w:hAnsi="Bookman Old Style" w:cs="Times New Roman"/>
          <w:b/>
          <w:sz w:val="28"/>
          <w:szCs w:val="28"/>
        </w:rPr>
      </w:pPr>
    </w:p>
    <w:p w:rsidR="00F02432" w:rsidRPr="00CA5FD4" w:rsidRDefault="00F02432" w:rsidP="009B4C92">
      <w:pPr>
        <w:spacing w:after="0" w:line="276" w:lineRule="auto"/>
        <w:ind w:firstLine="709"/>
        <w:jc w:val="both"/>
        <w:rPr>
          <w:rFonts w:ascii="Bookman Old Style" w:hAnsi="Bookman Old Style" w:cs="Times New Roman"/>
          <w:b/>
          <w:sz w:val="28"/>
          <w:szCs w:val="28"/>
        </w:rPr>
      </w:pPr>
    </w:p>
    <w:p w:rsidR="00F02432" w:rsidRPr="00CA5FD4" w:rsidRDefault="00F02432" w:rsidP="009B4C92">
      <w:pPr>
        <w:spacing w:after="0" w:line="276" w:lineRule="auto"/>
        <w:ind w:firstLine="709"/>
        <w:jc w:val="both"/>
        <w:rPr>
          <w:rFonts w:ascii="Bookman Old Style" w:hAnsi="Bookman Old Style" w:cs="Times New Roman"/>
          <w:b/>
          <w:sz w:val="28"/>
          <w:szCs w:val="28"/>
        </w:rPr>
      </w:pPr>
    </w:p>
    <w:p w:rsidR="00F02432" w:rsidRPr="00CA5FD4" w:rsidRDefault="00F02432" w:rsidP="009B4C92">
      <w:pPr>
        <w:spacing w:after="0" w:line="276" w:lineRule="auto"/>
        <w:ind w:firstLine="709"/>
        <w:jc w:val="both"/>
        <w:rPr>
          <w:rFonts w:ascii="Bookman Old Style" w:hAnsi="Bookman Old Style" w:cs="Times New Roman"/>
          <w:b/>
          <w:sz w:val="28"/>
          <w:szCs w:val="28"/>
        </w:rPr>
      </w:pPr>
    </w:p>
    <w:p w:rsidR="00F02432" w:rsidRPr="00CA5FD4" w:rsidRDefault="00F02432" w:rsidP="009B4C92">
      <w:pPr>
        <w:spacing w:after="0" w:line="276" w:lineRule="auto"/>
        <w:ind w:firstLine="709"/>
        <w:jc w:val="both"/>
        <w:rPr>
          <w:rFonts w:ascii="Bookman Old Style" w:hAnsi="Bookman Old Style" w:cs="Times New Roman"/>
          <w:b/>
          <w:sz w:val="28"/>
          <w:szCs w:val="28"/>
        </w:rPr>
      </w:pPr>
    </w:p>
    <w:p w:rsidR="00EC5B9B" w:rsidRPr="00CA5FD4" w:rsidRDefault="00EC5B9B" w:rsidP="009B4C92">
      <w:pPr>
        <w:spacing w:after="0" w:line="276" w:lineRule="auto"/>
        <w:ind w:firstLine="709"/>
        <w:jc w:val="both"/>
        <w:rPr>
          <w:rFonts w:ascii="Bookman Old Style" w:hAnsi="Bookman Old Style" w:cs="Times New Roman"/>
          <w:b/>
          <w:sz w:val="28"/>
          <w:szCs w:val="28"/>
        </w:rPr>
      </w:pPr>
    </w:p>
    <w:p w:rsidR="003A2203" w:rsidRPr="00CA5FD4" w:rsidRDefault="003A2203"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ВВЕДЕНИЕ</w:t>
      </w:r>
    </w:p>
    <w:p w:rsidR="003A2203" w:rsidRPr="00CA5FD4" w:rsidRDefault="003A2203"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Доклад Главы Кочковского района Новосибирской области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w:t>
      </w:r>
      <w:r w:rsidR="00DF3973" w:rsidRPr="00CA5FD4">
        <w:rPr>
          <w:rFonts w:ascii="Bookman Old Style" w:hAnsi="Bookman Old Style" w:cs="Times New Roman"/>
          <w:sz w:val="28"/>
          <w:szCs w:val="28"/>
        </w:rPr>
        <w:t>2</w:t>
      </w:r>
      <w:r w:rsidR="008F7F2F" w:rsidRPr="00CA5FD4">
        <w:rPr>
          <w:rFonts w:ascii="Bookman Old Style" w:hAnsi="Bookman Old Style" w:cs="Times New Roman"/>
          <w:sz w:val="28"/>
          <w:szCs w:val="28"/>
        </w:rPr>
        <w:t>2</w:t>
      </w:r>
      <w:r w:rsidRPr="00CA5FD4">
        <w:rPr>
          <w:rFonts w:ascii="Bookman Old Style" w:hAnsi="Bookman Old Style" w:cs="Times New Roman"/>
          <w:sz w:val="28"/>
          <w:szCs w:val="28"/>
        </w:rPr>
        <w:t xml:space="preserve"> год и их планируемых значениях на 3-летний период подготовлен в соответствии с пунктом 3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3A2203" w:rsidRPr="00CA5FD4" w:rsidRDefault="003A2203"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Расчет показателей производился в соответствии с утвержденными методологическими пояснениями с использованием официальных данных, предоставленных органами местного самоуправления, территориальным органом Федеральной службы государственной статистики по Новосибирской области, а также данных социологических опросов, проводимых Правительством Новосибирской области.</w:t>
      </w:r>
    </w:p>
    <w:p w:rsidR="003A2203" w:rsidRPr="00CA5FD4" w:rsidRDefault="003A2203"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В докладе представлены показатели деятельности Администрации Кочковского района в рамках Федерального закона от 06.10.2003 № 131-ФЗ «Об общих принципах организации местного самоуправления в Российской Федерации».</w:t>
      </w:r>
    </w:p>
    <w:p w:rsidR="003A2203" w:rsidRPr="00CA5FD4" w:rsidRDefault="003A2203"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Основной целью работы органов местного самоуправления является повышение уровня и качества жизни населения, развитие экономики Кочковского района. </w:t>
      </w:r>
    </w:p>
    <w:p w:rsidR="003A2203" w:rsidRPr="00CA5FD4" w:rsidRDefault="003A2203"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Для достижения цели органами местного самоуправления разработан широкий спектр муниципальных программ во всех отраслях в рамках полномочий.</w:t>
      </w:r>
    </w:p>
    <w:p w:rsidR="0028029A" w:rsidRPr="00CA5FD4" w:rsidRDefault="0028029A" w:rsidP="009B4C92">
      <w:pPr>
        <w:spacing w:after="0" w:line="276" w:lineRule="auto"/>
        <w:ind w:firstLine="709"/>
        <w:jc w:val="both"/>
        <w:rPr>
          <w:rFonts w:ascii="Bookman Old Style" w:hAnsi="Bookman Old Style" w:cs="Times New Roman"/>
          <w:sz w:val="28"/>
          <w:szCs w:val="28"/>
        </w:rPr>
      </w:pPr>
    </w:p>
    <w:p w:rsidR="0028029A" w:rsidRPr="00CA5FD4" w:rsidRDefault="0028029A" w:rsidP="009B4C92">
      <w:pPr>
        <w:spacing w:after="0" w:line="276" w:lineRule="auto"/>
        <w:ind w:firstLine="709"/>
        <w:jc w:val="both"/>
        <w:rPr>
          <w:rFonts w:ascii="Bookman Old Style" w:hAnsi="Bookman Old Style" w:cs="Times New Roman"/>
          <w:sz w:val="28"/>
          <w:szCs w:val="28"/>
        </w:rPr>
      </w:pPr>
    </w:p>
    <w:p w:rsidR="0028029A" w:rsidRPr="00CA5FD4" w:rsidRDefault="0028029A"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9E3038" w:rsidRPr="00CA5FD4" w:rsidRDefault="009E3038" w:rsidP="009B4C92">
      <w:pPr>
        <w:spacing w:after="0" w:line="276" w:lineRule="auto"/>
        <w:ind w:firstLine="709"/>
        <w:jc w:val="both"/>
        <w:rPr>
          <w:rFonts w:ascii="Bookman Old Style" w:hAnsi="Bookman Old Style" w:cs="Times New Roman"/>
          <w:sz w:val="28"/>
          <w:szCs w:val="28"/>
        </w:rPr>
      </w:pPr>
    </w:p>
    <w:p w:rsidR="0065300C" w:rsidRPr="00CA5FD4" w:rsidRDefault="0065300C"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CA5FD4">
        <w:rPr>
          <w:rFonts w:ascii="Bookman Old Style" w:hAnsi="Bookman Old Style" w:cs="Times New Roman"/>
          <w:b/>
          <w:color w:val="171717" w:themeColor="background2" w:themeShade="1A"/>
          <w:sz w:val="28"/>
          <w:szCs w:val="28"/>
        </w:rPr>
        <w:t>Экономическое развитие</w:t>
      </w:r>
    </w:p>
    <w:p w:rsidR="0029734F" w:rsidRPr="00CA5FD4" w:rsidRDefault="0029734F" w:rsidP="009B4C92">
      <w:pPr>
        <w:spacing w:after="0" w:line="276" w:lineRule="auto"/>
        <w:ind w:firstLine="709"/>
        <w:jc w:val="both"/>
        <w:rPr>
          <w:rFonts w:ascii="Bookman Old Style" w:hAnsi="Bookman Old Style" w:cs="Times New Roman"/>
          <w:b/>
          <w:sz w:val="28"/>
          <w:szCs w:val="28"/>
        </w:rPr>
      </w:pPr>
    </w:p>
    <w:p w:rsidR="0065300C" w:rsidRPr="00CA5FD4" w:rsidRDefault="0065300C"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Общие сведения</w:t>
      </w:r>
    </w:p>
    <w:p w:rsidR="0065300C" w:rsidRPr="00CA5FD4" w:rsidRDefault="0065300C"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Кочковский район образован 12 сентября 1924 года на базе </w:t>
      </w:r>
      <w:proofErr w:type="spellStart"/>
      <w:r w:rsidRPr="00CA5FD4">
        <w:rPr>
          <w:rFonts w:ascii="Bookman Old Style" w:hAnsi="Bookman Old Style" w:cs="Times New Roman"/>
          <w:sz w:val="28"/>
          <w:szCs w:val="28"/>
        </w:rPr>
        <w:t>Решетовской</w:t>
      </w:r>
      <w:proofErr w:type="spellEnd"/>
      <w:r w:rsidRPr="00CA5FD4">
        <w:rPr>
          <w:rFonts w:ascii="Bookman Old Style" w:hAnsi="Bookman Old Style" w:cs="Times New Roman"/>
          <w:sz w:val="28"/>
          <w:szCs w:val="28"/>
        </w:rPr>
        <w:t xml:space="preserve">, </w:t>
      </w:r>
      <w:proofErr w:type="spellStart"/>
      <w:r w:rsidRPr="00CA5FD4">
        <w:rPr>
          <w:rFonts w:ascii="Bookman Old Style" w:hAnsi="Bookman Old Style" w:cs="Times New Roman"/>
          <w:sz w:val="28"/>
          <w:szCs w:val="28"/>
        </w:rPr>
        <w:t>Кочковской</w:t>
      </w:r>
      <w:proofErr w:type="spellEnd"/>
      <w:r w:rsidRPr="00CA5FD4">
        <w:rPr>
          <w:rFonts w:ascii="Bookman Old Style" w:hAnsi="Bookman Old Style" w:cs="Times New Roman"/>
          <w:sz w:val="28"/>
          <w:szCs w:val="28"/>
        </w:rPr>
        <w:t xml:space="preserve"> и </w:t>
      </w:r>
      <w:proofErr w:type="spellStart"/>
      <w:r w:rsidRPr="00CA5FD4">
        <w:rPr>
          <w:rFonts w:ascii="Bookman Old Style" w:hAnsi="Bookman Old Style" w:cs="Times New Roman"/>
          <w:sz w:val="28"/>
          <w:szCs w:val="28"/>
        </w:rPr>
        <w:t>Жуланской</w:t>
      </w:r>
      <w:proofErr w:type="spellEnd"/>
      <w:r w:rsidRPr="00CA5FD4">
        <w:rPr>
          <w:rFonts w:ascii="Bookman Old Style" w:hAnsi="Bookman Old Style" w:cs="Times New Roman"/>
          <w:sz w:val="28"/>
          <w:szCs w:val="28"/>
        </w:rPr>
        <w:t xml:space="preserve"> волостей. Общая площадь района 2517,7 км</w:t>
      </w:r>
      <w:r w:rsidRPr="00CA5FD4">
        <w:rPr>
          <w:rFonts w:ascii="Bookman Old Style" w:hAnsi="Bookman Old Style" w:cs="Times New Roman"/>
          <w:sz w:val="28"/>
          <w:szCs w:val="28"/>
          <w:vertAlign w:val="superscript"/>
        </w:rPr>
        <w:t>2</w:t>
      </w:r>
      <w:r w:rsidRPr="00CA5FD4">
        <w:rPr>
          <w:rFonts w:ascii="Bookman Old Style" w:hAnsi="Bookman Old Style" w:cs="Times New Roman"/>
          <w:sz w:val="28"/>
          <w:szCs w:val="28"/>
        </w:rPr>
        <w:t>.</w:t>
      </w:r>
    </w:p>
    <w:p w:rsidR="0065300C" w:rsidRPr="00CA5FD4" w:rsidRDefault="0065300C"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Район граничит с Краснозерским, </w:t>
      </w:r>
      <w:proofErr w:type="spellStart"/>
      <w:r w:rsidRPr="00CA5FD4">
        <w:rPr>
          <w:rFonts w:ascii="Bookman Old Style" w:hAnsi="Bookman Old Style" w:cs="Times New Roman"/>
          <w:sz w:val="28"/>
          <w:szCs w:val="28"/>
        </w:rPr>
        <w:t>Доволенским</w:t>
      </w:r>
      <w:proofErr w:type="spellEnd"/>
      <w:r w:rsidRPr="00CA5FD4">
        <w:rPr>
          <w:rFonts w:ascii="Bookman Old Style" w:hAnsi="Bookman Old Style" w:cs="Times New Roman"/>
          <w:sz w:val="28"/>
          <w:szCs w:val="28"/>
        </w:rPr>
        <w:t xml:space="preserve">, </w:t>
      </w:r>
      <w:proofErr w:type="spellStart"/>
      <w:r w:rsidRPr="00CA5FD4">
        <w:rPr>
          <w:rFonts w:ascii="Bookman Old Style" w:hAnsi="Bookman Old Style" w:cs="Times New Roman"/>
          <w:sz w:val="28"/>
          <w:szCs w:val="28"/>
        </w:rPr>
        <w:t>Каргатским</w:t>
      </w:r>
      <w:proofErr w:type="spellEnd"/>
      <w:r w:rsidRPr="00CA5FD4">
        <w:rPr>
          <w:rFonts w:ascii="Bookman Old Style" w:hAnsi="Bookman Old Style" w:cs="Times New Roman"/>
          <w:sz w:val="28"/>
          <w:szCs w:val="28"/>
        </w:rPr>
        <w:t xml:space="preserve">, </w:t>
      </w:r>
      <w:proofErr w:type="spellStart"/>
      <w:r w:rsidRPr="00CA5FD4">
        <w:rPr>
          <w:rFonts w:ascii="Bookman Old Style" w:hAnsi="Bookman Old Style" w:cs="Times New Roman"/>
          <w:sz w:val="28"/>
          <w:szCs w:val="28"/>
        </w:rPr>
        <w:t>Чулымским</w:t>
      </w:r>
      <w:proofErr w:type="spellEnd"/>
      <w:r w:rsidRPr="00CA5FD4">
        <w:rPr>
          <w:rFonts w:ascii="Bookman Old Style" w:hAnsi="Bookman Old Style" w:cs="Times New Roman"/>
          <w:sz w:val="28"/>
          <w:szCs w:val="28"/>
        </w:rPr>
        <w:t xml:space="preserve"> и Ордынским районами Новосибирской области, на юге с Алтайским краем. Административный центр района село Кочки. В состав района входят 19 поселений, объединенных в 10 сельсоветов. Численность населения по состоянию на 31 декабря 20</w:t>
      </w:r>
      <w:r w:rsidR="008B45F2" w:rsidRPr="00CA5FD4">
        <w:rPr>
          <w:rFonts w:ascii="Bookman Old Style" w:hAnsi="Bookman Old Style" w:cs="Times New Roman"/>
          <w:sz w:val="28"/>
          <w:szCs w:val="28"/>
        </w:rPr>
        <w:t>2</w:t>
      </w:r>
      <w:r w:rsidR="008F7F2F" w:rsidRPr="00CA5FD4">
        <w:rPr>
          <w:rFonts w:ascii="Bookman Old Style" w:hAnsi="Bookman Old Style" w:cs="Times New Roman"/>
          <w:sz w:val="28"/>
          <w:szCs w:val="28"/>
        </w:rPr>
        <w:t>2</w:t>
      </w:r>
      <w:r w:rsidRPr="00CA5FD4">
        <w:rPr>
          <w:rFonts w:ascii="Bookman Old Style" w:hAnsi="Bookman Old Style" w:cs="Times New Roman"/>
          <w:sz w:val="28"/>
          <w:szCs w:val="28"/>
        </w:rPr>
        <w:t xml:space="preserve"> года составила </w:t>
      </w:r>
      <w:r w:rsidR="008F7F2F" w:rsidRPr="00CA5FD4">
        <w:rPr>
          <w:rFonts w:ascii="Bookman Old Style" w:hAnsi="Bookman Old Style" w:cs="Times New Roman"/>
          <w:sz w:val="28"/>
          <w:szCs w:val="28"/>
        </w:rPr>
        <w:t>11625 человек. Плотность населения 4,6</w:t>
      </w:r>
      <w:r w:rsidRPr="00CA5FD4">
        <w:rPr>
          <w:rFonts w:ascii="Bookman Old Style" w:hAnsi="Bookman Old Style" w:cs="Times New Roman"/>
          <w:sz w:val="28"/>
          <w:szCs w:val="28"/>
        </w:rPr>
        <w:t xml:space="preserve"> человек на км</w:t>
      </w:r>
      <w:r w:rsidRPr="00CA5FD4">
        <w:rPr>
          <w:rFonts w:ascii="Bookman Old Style" w:hAnsi="Bookman Old Style" w:cs="Times New Roman"/>
          <w:sz w:val="28"/>
          <w:szCs w:val="28"/>
          <w:vertAlign w:val="superscript"/>
        </w:rPr>
        <w:t>2</w:t>
      </w:r>
      <w:r w:rsidRPr="00CA5FD4">
        <w:rPr>
          <w:rFonts w:ascii="Bookman Old Style" w:hAnsi="Bookman Old Style" w:cs="Times New Roman"/>
          <w:sz w:val="28"/>
          <w:szCs w:val="28"/>
        </w:rPr>
        <w:t>.</w:t>
      </w:r>
    </w:p>
    <w:p w:rsidR="0065300C" w:rsidRPr="00CA5FD4" w:rsidRDefault="0065300C"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Все сельские поселения соединены с районным центром дорогами с твердым покрытием. </w:t>
      </w:r>
    </w:p>
    <w:p w:rsidR="0065300C" w:rsidRPr="00CA5FD4" w:rsidRDefault="0065300C"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Район расположен в лесостепи. Площадь лесного фонда равна 1495 тыс. га, лесная и покрытая лесом – 14,2 тыс. га, лесистость – 5,6 %.</w:t>
      </w:r>
    </w:p>
    <w:p w:rsidR="0065300C" w:rsidRPr="00CA5FD4" w:rsidRDefault="0065300C"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Охотничье-промысловая фауна небогата из-за отсутствия пригодных местообитаний. В основном водятся косули, зайцы, корсаки, лисы и другие. Из полезных ископаемых -  суглинки кирпичные.</w:t>
      </w:r>
    </w:p>
    <w:p w:rsidR="0065300C" w:rsidRPr="00CA5FD4" w:rsidRDefault="0065300C" w:rsidP="009B4C92">
      <w:pPr>
        <w:spacing w:after="0" w:line="276" w:lineRule="auto"/>
        <w:ind w:firstLine="709"/>
        <w:jc w:val="both"/>
        <w:rPr>
          <w:rFonts w:ascii="Bookman Old Style" w:hAnsi="Bookman Old Style" w:cs="Times New Roman"/>
          <w:sz w:val="28"/>
          <w:szCs w:val="28"/>
        </w:rPr>
      </w:pPr>
    </w:p>
    <w:p w:rsidR="0065300C" w:rsidRPr="00CA5FD4" w:rsidRDefault="0065300C"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Сельское хозяйство</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Объемы производства продукции сельского хозяйства всеми производителями, включая ЛПХ, в 2022 году достигли показателя 4054,1 млн. рублей против 4399,3 млн. рублей в 2021 году.</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Снижение объёмов производства в денежном выражении связано в большей степени со снижением цены на сельхозпродукцию, так как в натуральном выражении производство продукции растениеводства осталось на уровне предыдущего года. Кроме этого, отрасль животноводства показывает снижение по всем показателям (в </w:t>
      </w:r>
      <w:r w:rsidRPr="00CA5FD4">
        <w:rPr>
          <w:rFonts w:ascii="Bookman Old Style" w:hAnsi="Bookman Old Style" w:cs="Times New Roman"/>
          <w:sz w:val="28"/>
          <w:szCs w:val="28"/>
        </w:rPr>
        <w:lastRenderedPageBreak/>
        <w:t>сельхозпредприятиях): производство молока на 2,3 %, производство мяса на 3,7 %, поголовье КРС на 10,5 %, в т. ч. коров на 6,5 %.</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План заготовки сена хозяйствами района выполнен на 70 %, по закладке сенажа на 70,3 %, силоса на 54 %.</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Предстояло убрать зерновых и зернобобовых культур на площади 75803 гектара. Уборочные работы выполнены на 100 %. Валовой сбор составил 151,3 тыс. тонн при урожайности 21 ц/га. 36,8 центнеров с гектара получили ОАО «</w:t>
      </w:r>
      <w:proofErr w:type="spellStart"/>
      <w:r w:rsidRPr="00CA5FD4">
        <w:rPr>
          <w:rFonts w:ascii="Bookman Old Style" w:hAnsi="Bookman Old Style" w:cs="Times New Roman"/>
          <w:sz w:val="28"/>
          <w:szCs w:val="28"/>
        </w:rPr>
        <w:t>Жуланка</w:t>
      </w:r>
      <w:proofErr w:type="spellEnd"/>
      <w:r w:rsidRPr="00CA5FD4">
        <w:rPr>
          <w:rFonts w:ascii="Bookman Old Style" w:hAnsi="Bookman Old Style" w:cs="Times New Roman"/>
          <w:sz w:val="28"/>
          <w:szCs w:val="28"/>
        </w:rPr>
        <w:t xml:space="preserve">». </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Хозяйства района обмолотили яровой рапс на площади 9019 га при средней урожайности 17,2 ц/га. Максимальную урожайность рапса получил ИП глава КФХ Мазалов О.Б.  – 26,4 ц/га. </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АО «</w:t>
      </w:r>
      <w:proofErr w:type="spellStart"/>
      <w:r w:rsidRPr="00CA5FD4">
        <w:rPr>
          <w:rFonts w:ascii="Bookman Old Style" w:hAnsi="Bookman Old Style" w:cs="Times New Roman"/>
          <w:sz w:val="28"/>
          <w:szCs w:val="28"/>
        </w:rPr>
        <w:t>Кудряшовское</w:t>
      </w:r>
      <w:proofErr w:type="spellEnd"/>
      <w:r w:rsidRPr="00CA5FD4">
        <w:rPr>
          <w:rFonts w:ascii="Bookman Old Style" w:hAnsi="Bookman Old Style" w:cs="Times New Roman"/>
          <w:sz w:val="28"/>
          <w:szCs w:val="28"/>
        </w:rPr>
        <w:t>» возделывало сою на площади 6774 га при средней урожайности 12 ц/га. Кроме этого, хозяйствами района и некоторыми КФХ был собран урожай льна. Средняя урожайность составила 6 ц/га.</w:t>
      </w:r>
    </w:p>
    <w:p w:rsidR="00A46F96" w:rsidRPr="00CA5FD4" w:rsidRDefault="00A46F96" w:rsidP="00A46F9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Кроме уборочных работ проведена вспашка зяби под урожай будущего года на площади 41114 гектара, это 105 % к плану на 2022 год. Отсыпано семян под посев 2023 года 15671,4 центнера или 100 %. </w:t>
      </w:r>
    </w:p>
    <w:p w:rsidR="00B82686" w:rsidRPr="00CA5FD4" w:rsidRDefault="00B82686" w:rsidP="00A46F96">
      <w:pPr>
        <w:spacing w:after="0" w:line="276" w:lineRule="auto"/>
        <w:jc w:val="both"/>
        <w:rPr>
          <w:rFonts w:ascii="Bookman Old Style" w:hAnsi="Bookman Old Style" w:cs="Times New Roman"/>
          <w:sz w:val="28"/>
          <w:szCs w:val="28"/>
        </w:rPr>
      </w:pPr>
      <w:r w:rsidRPr="00CA5FD4">
        <w:rPr>
          <w:rFonts w:ascii="Bookman Old Style" w:hAnsi="Bookman Old Style" w:cs="Times New Roman"/>
          <w:noProof/>
          <w:sz w:val="28"/>
          <w:szCs w:val="28"/>
          <w:lang w:eastAsia="ru-RU"/>
        </w:rPr>
        <w:drawing>
          <wp:inline distT="0" distB="0" distL="0" distR="0">
            <wp:extent cx="5932170" cy="3209925"/>
            <wp:effectExtent l="0" t="0" r="1143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2686" w:rsidRPr="00CA5FD4" w:rsidRDefault="00B82686"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Рисунок 1 – Основные показатели сельскохозяйственного производства.</w:t>
      </w:r>
    </w:p>
    <w:p w:rsidR="00D70FC2" w:rsidRPr="00CA5FD4" w:rsidRDefault="00D70FC2" w:rsidP="009B4C92">
      <w:pPr>
        <w:spacing w:after="0" w:line="276" w:lineRule="auto"/>
        <w:ind w:firstLine="709"/>
        <w:jc w:val="both"/>
        <w:rPr>
          <w:rFonts w:ascii="Bookman Old Style" w:hAnsi="Bookman Old Style" w:cs="Times New Roman"/>
          <w:sz w:val="28"/>
          <w:szCs w:val="28"/>
        </w:rPr>
      </w:pP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Заготовлено кормов для животноводства в зимовку 2022-2023 годов: сена </w:t>
      </w:r>
      <w:r w:rsidRPr="00CA5FD4">
        <w:rPr>
          <w:rFonts w:ascii="Bookman Old Style" w:hAnsi="Bookman Old Style" w:cs="Times New Roman"/>
          <w:bCs/>
          <w:sz w:val="28"/>
          <w:szCs w:val="28"/>
        </w:rPr>
        <w:t>3594,5</w:t>
      </w:r>
      <w:r w:rsidRPr="00CA5FD4">
        <w:rPr>
          <w:rFonts w:ascii="Bookman Old Style" w:hAnsi="Bookman Old Style" w:cs="Times New Roman"/>
          <w:sz w:val="28"/>
          <w:szCs w:val="28"/>
        </w:rPr>
        <w:t xml:space="preserve"> тонн, 14309 тонн сенажа, </w:t>
      </w:r>
      <w:r w:rsidRPr="00CA5FD4">
        <w:rPr>
          <w:rFonts w:ascii="Bookman Old Style" w:hAnsi="Bookman Old Style" w:cs="Times New Roman"/>
          <w:bCs/>
          <w:sz w:val="28"/>
          <w:szCs w:val="28"/>
        </w:rPr>
        <w:t>4040</w:t>
      </w:r>
      <w:r w:rsidRPr="00CA5FD4">
        <w:rPr>
          <w:rFonts w:ascii="Bookman Old Style" w:hAnsi="Bookman Old Style" w:cs="Times New Roman"/>
          <w:sz w:val="28"/>
          <w:szCs w:val="28"/>
        </w:rPr>
        <w:t xml:space="preserve"> тонн силоса, засыпано 4941 тонна фуража, что составляет </w:t>
      </w:r>
      <w:r w:rsidRPr="00CA5FD4">
        <w:rPr>
          <w:rFonts w:ascii="Bookman Old Style" w:hAnsi="Bookman Old Style" w:cs="Times New Roman"/>
          <w:bCs/>
          <w:sz w:val="28"/>
          <w:szCs w:val="28"/>
        </w:rPr>
        <w:t xml:space="preserve">31,39 </w:t>
      </w:r>
      <w:r w:rsidRPr="00CA5FD4">
        <w:rPr>
          <w:rFonts w:ascii="Bookman Old Style" w:hAnsi="Bookman Old Style" w:cs="Times New Roman"/>
          <w:sz w:val="28"/>
          <w:szCs w:val="28"/>
        </w:rPr>
        <w:t>ц кормовых единиц на 1 условную голову.</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Животноводством в Кочковском районе занимаются 3 хозяйства: ОАО «</w:t>
      </w:r>
      <w:proofErr w:type="spellStart"/>
      <w:r w:rsidRPr="00CA5FD4">
        <w:rPr>
          <w:rFonts w:ascii="Bookman Old Style" w:hAnsi="Bookman Old Style" w:cs="Times New Roman"/>
          <w:sz w:val="28"/>
          <w:szCs w:val="28"/>
        </w:rPr>
        <w:t>Решетовское</w:t>
      </w:r>
      <w:proofErr w:type="spellEnd"/>
      <w:r w:rsidRPr="00CA5FD4">
        <w:rPr>
          <w:rFonts w:ascii="Bookman Old Style" w:hAnsi="Bookman Old Style" w:cs="Times New Roman"/>
          <w:sz w:val="28"/>
          <w:szCs w:val="28"/>
        </w:rPr>
        <w:t xml:space="preserve">» занимается производством молока, а ООО «Алтайский продукт 22» и ООО «Покровское» выращиванием молодняка молочных пород. </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Всего крупного рогатого скота во всех категориях хозяйств на 01.01.2023 г имеется </w:t>
      </w:r>
      <w:r w:rsidRPr="00CA5FD4">
        <w:rPr>
          <w:rFonts w:ascii="Bookman Old Style" w:hAnsi="Bookman Old Style" w:cs="Times New Roman"/>
          <w:bCs/>
          <w:sz w:val="28"/>
          <w:szCs w:val="28"/>
        </w:rPr>
        <w:t xml:space="preserve">9632 </w:t>
      </w:r>
      <w:r w:rsidRPr="00CA5FD4">
        <w:rPr>
          <w:rFonts w:ascii="Bookman Old Style" w:hAnsi="Bookman Old Style" w:cs="Times New Roman"/>
          <w:sz w:val="28"/>
          <w:szCs w:val="28"/>
        </w:rPr>
        <w:t>головы, что ниже уровня прошлого года на 10,5 %.</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Продуктивность дойного стада выросла и составила 3914 кг на одну фуражную корову (104,54 % к 2021 году), валовое производство молока – 16262,2 тонны в хозяйствах всех категорий.</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В сельхозпредприятиях валовой привес молодняка КРС составил 384,6 тонны, что ниже уровня 2021 года на 7,7 %, среднесуточный привес – 441 г или 95,2 % к уровню 2021 года. </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В 2022 году в хозяйствах района произошло увеличение падежа КРС на 32,6 % к уровню прошлого года. Наибольший падеж наблюдается в ОАО «Алтайский продукт 22» (269 голов – 33,4 % к обороту стада).</w:t>
      </w:r>
    </w:p>
    <w:p w:rsidR="00734AB5" w:rsidRPr="00CA5FD4" w:rsidRDefault="00734AB5" w:rsidP="00734AB5">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В хозяйствах всех категорий кроме КРС имеются лошади (268 голов).</w:t>
      </w:r>
    </w:p>
    <w:p w:rsidR="00734AB5" w:rsidRPr="00CA5FD4" w:rsidRDefault="00734AB5" w:rsidP="00734AB5">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Выручка от реализации продукции, товаров, работ и услуг за отчетный период составила 1386 млн. руб., в том числе от реализации сельскохозяйственной продукции собственного производства – 1386,1 млн. руб. (89,7%).  Финансовый результат за 2022 год до налогообложения в целом по району положительный и прибыль по своду составляет 237,5 млн. руб., два хозяйства за отчетный период (АО «Республиканское», ООО «</w:t>
      </w:r>
      <w:proofErr w:type="spellStart"/>
      <w:r w:rsidRPr="00CA5FD4">
        <w:rPr>
          <w:rFonts w:ascii="Bookman Old Style" w:hAnsi="Bookman Old Style" w:cs="Times New Roman"/>
          <w:bCs/>
          <w:sz w:val="28"/>
          <w:szCs w:val="28"/>
        </w:rPr>
        <w:t>Индерское</w:t>
      </w:r>
      <w:proofErr w:type="spellEnd"/>
      <w:r w:rsidRPr="00CA5FD4">
        <w:rPr>
          <w:rFonts w:ascii="Bookman Old Style" w:hAnsi="Bookman Old Style" w:cs="Times New Roman"/>
          <w:bCs/>
          <w:sz w:val="28"/>
          <w:szCs w:val="28"/>
        </w:rPr>
        <w:t xml:space="preserve">») получили убыток в размере 3,8 млн. руб. (Список прилагается). </w:t>
      </w:r>
    </w:p>
    <w:p w:rsidR="00734AB5" w:rsidRPr="00CA5FD4" w:rsidRDefault="00734AB5" w:rsidP="00734AB5">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За отчетный период сельскохозяйственными предприятиями, КФХ и ЛПХ района получено субсидий из бюджетов всех уровней 129,4 млн. руб.</w:t>
      </w:r>
    </w:p>
    <w:p w:rsidR="00734AB5" w:rsidRPr="00CA5FD4" w:rsidRDefault="00734AB5" w:rsidP="00734AB5">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lastRenderedPageBreak/>
        <w:t>Государственная поддержка сельскохозяйственного производства Кочковского района в целом за 2022 год осуществлялась из федерального (14,1 млн. руб.) и областного (115,3 млн. руб.) бюджетов по следующим направлениям: возмещение части затрат на проведение комплекса агротехнологических работ – 2,0 млн. руб., на поддержку элитного семеноводства – 0,4 млн. руб., возмещение части стоимости приобретаемых минеральных удобрений – 33,2 млн. руб., возмещение части стоимости приобретаемых средств защиты растений – 9,6 млн. руб., возмещение стоимости приобретенных семян кукурузы – 0,2 млн. руб., компенсация затрат по приобретению техники и оборудования в сумме 56,5 млн. руб., господдержка племенного дела – 11,8 млн. руб., возмещение части затрат на поддержку производства молока – 2,1 млн. руб., компенсация части затрат на содержание поголовья молочных коров низкой продуктивности – 1,7 млн. руб., на диагностические исследования по лейкозу – 0,4 млн. руб., на развитие сельской кооперации – 0,03 млн. руб., возмещение стоимости приобретенного рыбопосадочного материала – 1,0 млн. руб.,  возмещение стоимости молодняка крупного рогатого скота, приобретенного личными подсобными хозяйствами – 0,4 млн. руб., единовременные выплаты молодым специалистам – 0,4 млн. руб., доплата бывшим руководителям – 0,015 млн. руб., субсидия на обеспечение комплексного развития сельских территорий (социальное обеспечение населения) – 3,7  млн. рублей, премии победителям областных трудовых соревнований – 0,1 млн. рублей.</w:t>
      </w:r>
    </w:p>
    <w:p w:rsidR="0036661A" w:rsidRPr="00CA5FD4" w:rsidRDefault="0036661A" w:rsidP="009B4C92">
      <w:pPr>
        <w:spacing w:after="0" w:line="276" w:lineRule="auto"/>
        <w:ind w:firstLine="709"/>
        <w:jc w:val="both"/>
        <w:rPr>
          <w:rFonts w:ascii="Bookman Old Style" w:hAnsi="Bookman Old Style" w:cs="Times New Roman"/>
          <w:b/>
          <w:sz w:val="28"/>
          <w:szCs w:val="28"/>
        </w:rPr>
      </w:pPr>
    </w:p>
    <w:p w:rsidR="00DB79F1" w:rsidRPr="00CA5FD4" w:rsidRDefault="00DB79F1"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Промышленность.</w:t>
      </w:r>
    </w:p>
    <w:p w:rsidR="0009493E" w:rsidRPr="00CA5FD4" w:rsidRDefault="0009493E" w:rsidP="00AE3116">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Выпуском промышленной продукции в районе в 2022 году занимались 7 предприятий и вспомогательных производств по переработке сельхозпродукции. Выпуском промышленной продукции в районе занимаются Кочковский мясокомбинат (ИП Яшина М.Ю.), ООО «Крестьянка», </w:t>
      </w:r>
      <w:proofErr w:type="spellStart"/>
      <w:r w:rsidRPr="00CA5FD4">
        <w:rPr>
          <w:rFonts w:ascii="Bookman Old Style" w:hAnsi="Bookman Old Style" w:cs="Times New Roman"/>
          <w:sz w:val="28"/>
          <w:szCs w:val="28"/>
        </w:rPr>
        <w:t>хлебокомбинат</w:t>
      </w:r>
      <w:proofErr w:type="spellEnd"/>
      <w:r w:rsidRPr="00CA5FD4">
        <w:rPr>
          <w:rFonts w:ascii="Bookman Old Style" w:hAnsi="Bookman Old Style" w:cs="Times New Roman"/>
          <w:sz w:val="28"/>
          <w:szCs w:val="28"/>
        </w:rPr>
        <w:t xml:space="preserve"> и цех полуфабрикатов Кочковского ПТПК. Переработку леса осуществляют Кочковский участок АО «</w:t>
      </w:r>
      <w:proofErr w:type="spellStart"/>
      <w:r w:rsidRPr="00CA5FD4">
        <w:rPr>
          <w:rFonts w:ascii="Bookman Old Style" w:hAnsi="Bookman Old Style" w:cs="Times New Roman"/>
          <w:sz w:val="28"/>
          <w:szCs w:val="28"/>
        </w:rPr>
        <w:t>Доволенский</w:t>
      </w:r>
      <w:proofErr w:type="spellEnd"/>
      <w:r w:rsidRPr="00CA5FD4">
        <w:rPr>
          <w:rFonts w:ascii="Bookman Old Style" w:hAnsi="Bookman Old Style" w:cs="Times New Roman"/>
          <w:sz w:val="28"/>
          <w:szCs w:val="28"/>
        </w:rPr>
        <w:t xml:space="preserve"> лесхоз», ИП </w:t>
      </w:r>
      <w:r w:rsidRPr="00CA5FD4">
        <w:rPr>
          <w:rFonts w:ascii="Bookman Old Style" w:hAnsi="Bookman Old Style" w:cs="Times New Roman"/>
          <w:sz w:val="28"/>
          <w:szCs w:val="28"/>
        </w:rPr>
        <w:lastRenderedPageBreak/>
        <w:t xml:space="preserve">Долгов Юрий Петрович. Производством мебели и изделий из металла на заказ занимается ИП Левчук Вячеслав Сергеевич. </w:t>
      </w:r>
    </w:p>
    <w:p w:rsidR="00CF6229" w:rsidRPr="00CA5FD4" w:rsidRDefault="0009493E" w:rsidP="00CF6229">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Объем производства промышленной продукции составил 38,7 млн. рублей, или 120 % к уровню предыдущего года. Кочковский мясокомбинат сработал лучше, чем в предыдущем году, рост объемов производства показал </w:t>
      </w:r>
      <w:proofErr w:type="spellStart"/>
      <w:r w:rsidRPr="00CA5FD4">
        <w:rPr>
          <w:rFonts w:ascii="Bookman Old Style" w:hAnsi="Bookman Old Style" w:cs="Times New Roman"/>
          <w:sz w:val="28"/>
          <w:szCs w:val="28"/>
        </w:rPr>
        <w:t>хлебокомбинат</w:t>
      </w:r>
      <w:proofErr w:type="spellEnd"/>
      <w:r w:rsidRPr="00CA5FD4">
        <w:rPr>
          <w:rFonts w:ascii="Bookman Old Style" w:hAnsi="Bookman Old Style" w:cs="Times New Roman"/>
          <w:sz w:val="28"/>
          <w:szCs w:val="28"/>
        </w:rPr>
        <w:t xml:space="preserve"> Кочковского ПТПК. Также рост объемов производства и реализации показали предприниматели, осуществляющие переработку древесины. </w:t>
      </w:r>
    </w:p>
    <w:p w:rsidR="00DB79F1" w:rsidRPr="00CA5FD4" w:rsidRDefault="00DB79F1" w:rsidP="009B3A88">
      <w:pPr>
        <w:spacing w:after="0" w:line="276" w:lineRule="auto"/>
        <w:jc w:val="both"/>
        <w:rPr>
          <w:rFonts w:ascii="Bookman Old Style" w:hAnsi="Bookman Old Style" w:cs="Times New Roman"/>
          <w:sz w:val="28"/>
          <w:szCs w:val="28"/>
        </w:rPr>
      </w:pPr>
      <w:r w:rsidRPr="00CA5FD4">
        <w:rPr>
          <w:rFonts w:ascii="Bookman Old Style" w:hAnsi="Bookman Old Style" w:cs="Times New Roman"/>
          <w:noProof/>
          <w:sz w:val="28"/>
          <w:szCs w:val="28"/>
          <w:lang w:eastAsia="ru-RU"/>
        </w:rPr>
        <w:drawing>
          <wp:inline distT="0" distB="0" distL="0" distR="0">
            <wp:extent cx="5932170" cy="2905125"/>
            <wp:effectExtent l="0" t="0" r="1143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9F1" w:rsidRPr="00CA5FD4" w:rsidRDefault="00DB79F1"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Рисунок 2 – Промышленное производство</w:t>
      </w:r>
      <w:r w:rsidR="0034641A" w:rsidRPr="00CA5FD4">
        <w:rPr>
          <w:rFonts w:ascii="Bookman Old Style" w:hAnsi="Bookman Old Style" w:cs="Times New Roman"/>
          <w:sz w:val="28"/>
          <w:szCs w:val="28"/>
        </w:rPr>
        <w:t>.</w:t>
      </w:r>
    </w:p>
    <w:p w:rsidR="00DB79F1" w:rsidRPr="00CA5FD4" w:rsidRDefault="00DB79F1" w:rsidP="009B4C92">
      <w:pPr>
        <w:spacing w:after="0" w:line="276" w:lineRule="auto"/>
        <w:ind w:firstLine="709"/>
        <w:jc w:val="both"/>
        <w:rPr>
          <w:rFonts w:ascii="Bookman Old Style" w:hAnsi="Bookman Old Style" w:cs="Times New Roman"/>
          <w:sz w:val="28"/>
          <w:szCs w:val="28"/>
        </w:rPr>
      </w:pPr>
    </w:p>
    <w:p w:rsidR="00EF5538" w:rsidRPr="00CA5FD4" w:rsidRDefault="00EF5538"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Малое и среднее предпринимательство</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Потребительский рынок Кочковского района представлен 135 объектами торговли и 25 объектами общественного питания.</w:t>
      </w:r>
      <w:r w:rsidRPr="00CA5FD4">
        <w:rPr>
          <w:rFonts w:ascii="Bookman Old Style" w:hAnsi="Bookman Old Style" w:cs="Times New Roman"/>
          <w:bCs/>
          <w:sz w:val="28"/>
          <w:szCs w:val="28"/>
        </w:rPr>
        <w:tab/>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 xml:space="preserve">Торговое обслуживание населения через стационарную торговую сеть производится практически в 12 населенных пунктах района. В 9 населенных пунктах действуют магазины потребительской кооперации. Удельный вес магазинов потребительского общества составляет 16 % от общего количества предприятий торговли. </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 xml:space="preserve">Объем оборота торговли за 2022 год в целом по району составил 1180 млн. рублей или 92,75 % к соответствующему периоду прошлого года (в сопоставимых ценах). На душу </w:t>
      </w:r>
      <w:r w:rsidRPr="00CA5FD4">
        <w:rPr>
          <w:rFonts w:ascii="Bookman Old Style" w:hAnsi="Bookman Old Style" w:cs="Times New Roman"/>
          <w:bCs/>
          <w:sz w:val="28"/>
          <w:szCs w:val="28"/>
        </w:rPr>
        <w:lastRenderedPageBreak/>
        <w:t>населения приходится 90888,1 руб., что на 12,7 % выше уровня прошлого года.</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Объем продаж потребительской кооперации, включая общественное питание, составил 213,3 млн. рублей (18,1% от общего оборота торговли района).</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 xml:space="preserve">В отчетном году на территории района открылось 3 магазина. </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Общий объем платных услуг составил 150,66 млн. рублей. В том числе оказано бытовых услуг населению на сумму 9,7 млн. рублей.</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На 01.01.2023 на территории района насчитывается 325 субъектов малого бизнеса. В этой сфере занято около 1,3 тыс. человек. Наибольший удельный вес в структуре направлений малого предпринимательства занимают предприятия торговли – 29 %, отрасль частных грузовых и пассажирских перевозок занимает 19,8 % от общего количества субъектов бизнеса, в сельхозпроизводстве занято 16,5 % субъектов предпринимательства, предоставлением услуг занято 5,8 %.</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организована встреча предпринимателей и </w:t>
      </w:r>
      <w:proofErr w:type="spellStart"/>
      <w:r w:rsidRPr="00CA5FD4">
        <w:rPr>
          <w:rFonts w:ascii="Bookman Old Style" w:hAnsi="Bookman Old Style" w:cs="Times New Roman"/>
          <w:bCs/>
          <w:sz w:val="28"/>
          <w:szCs w:val="28"/>
        </w:rPr>
        <w:t>самозанятых</w:t>
      </w:r>
      <w:proofErr w:type="spellEnd"/>
      <w:r w:rsidRPr="00CA5FD4">
        <w:rPr>
          <w:rFonts w:ascii="Bookman Old Style" w:hAnsi="Bookman Old Style" w:cs="Times New Roman"/>
          <w:bCs/>
          <w:sz w:val="28"/>
          <w:szCs w:val="28"/>
        </w:rPr>
        <w:t xml:space="preserve"> граждан с представителями Новосибирского фонда микрофинансирования в результате чего 2 предпринимателя из района воспользовались услугами фонда микрофинансирования по сниженной ставке кредитования на сумму 1,8 млн. рублей и 2 предпринимателя услугами фонда поручительства –на сумму 12 млн. рублей.</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В рамках реализации муниципальной программы «Развитие субъектов малого и среднего предпринимательства в Кочковском районе Новосибирской области» оказана финансовая поддержка одному субъекту предпринимательства на сумму 228 тыс. рублей.</w:t>
      </w:r>
    </w:p>
    <w:p w:rsidR="00716FBE"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t xml:space="preserve">В 2022 году Центром занятости населения проводился конкурс на оказание финансовой поддержки гражданам, состоящим на учете в качестве безработных, для организации собственного бизнеса. В результате рассмотрения заявок финансовая поддержка оказана семи безработным гражданам. </w:t>
      </w:r>
    </w:p>
    <w:p w:rsidR="009F7311" w:rsidRPr="00CA5FD4" w:rsidRDefault="00716FBE" w:rsidP="00716FBE">
      <w:pPr>
        <w:spacing w:after="0" w:line="276" w:lineRule="auto"/>
        <w:ind w:firstLine="709"/>
        <w:jc w:val="both"/>
        <w:rPr>
          <w:rFonts w:ascii="Bookman Old Style" w:hAnsi="Bookman Old Style" w:cs="Times New Roman"/>
          <w:bCs/>
          <w:sz w:val="28"/>
          <w:szCs w:val="28"/>
        </w:rPr>
      </w:pPr>
      <w:r w:rsidRPr="00CA5FD4">
        <w:rPr>
          <w:rFonts w:ascii="Bookman Old Style" w:hAnsi="Bookman Old Style" w:cs="Times New Roman"/>
          <w:bCs/>
          <w:sz w:val="28"/>
          <w:szCs w:val="28"/>
        </w:rPr>
        <w:lastRenderedPageBreak/>
        <w:t>Кроме этого, органами социальной защиты предоставлены субсидии в форме социального контракта гражданам с низким уровнем дохода на организацию собственного дела. Воспользовались такой поддержкой 16 человек. В настоящее время все граждане, получившие поддержку, встали на учет в налоговых органах.</w:t>
      </w:r>
    </w:p>
    <w:p w:rsidR="0085606C" w:rsidRPr="00CA5FD4" w:rsidRDefault="0085606C" w:rsidP="009B4C92">
      <w:pPr>
        <w:spacing w:after="0" w:line="276" w:lineRule="auto"/>
        <w:ind w:firstLine="709"/>
        <w:jc w:val="both"/>
        <w:rPr>
          <w:rFonts w:ascii="Bookman Old Style" w:hAnsi="Bookman Old Style" w:cs="Times New Roman"/>
          <w:b/>
          <w:sz w:val="28"/>
          <w:szCs w:val="28"/>
        </w:rPr>
      </w:pPr>
    </w:p>
    <w:p w:rsidR="00AB31ED" w:rsidRPr="00CA5FD4" w:rsidRDefault="00AB31ED"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Строительство и инвестиции</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На развитие экономики района за 2022 инвестировано 1275,5 млн. рублей (142,4% к уровню 2021 года).   </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Times New Roman" w:hAnsi="Times New Roman" w:cs="Times New Roman"/>
          <w:noProof/>
          <w:sz w:val="24"/>
          <w:szCs w:val="24"/>
          <w:lang w:eastAsia="ru-RU"/>
        </w:rPr>
        <mc:AlternateContent>
          <mc:Choice Requires="wps">
            <w:drawing>
              <wp:anchor distT="91440" distB="91440" distL="228600" distR="91440" simplePos="0" relativeHeight="251659264" behindDoc="0" locked="0" layoutInCell="0" allowOverlap="1" wp14:anchorId="5C376CF2" wp14:editId="555B64D7">
                <wp:simplePos x="0" y="0"/>
                <wp:positionH relativeFrom="margin">
                  <wp:posOffset>3705087</wp:posOffset>
                </wp:positionH>
                <wp:positionV relativeFrom="margin">
                  <wp:posOffset>1735345</wp:posOffset>
                </wp:positionV>
                <wp:extent cx="2903220" cy="1200150"/>
                <wp:effectExtent l="0" t="0" r="0" b="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2001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85606C">
                              <w:rPr>
                                <w:rFonts w:ascii="Bookman Old Style" w:hAnsi="Bookman Old Style"/>
                                <w:i/>
                                <w:iCs/>
                                <w:color w:val="FFFFFF" w:themeColor="background1"/>
                                <w:sz w:val="28"/>
                                <w:szCs w:val="28"/>
                              </w:rPr>
                              <w:t>1276</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376CF2" id="Прямоугольник 6" o:spid="_x0000_s1026" style="position:absolute;left:0;text-align:left;margin-left:291.75pt;margin-top:136.65pt;width:228.6pt;height:94.5pt;z-index:251659264;visibility:visible;mso-wrap-style:square;mso-width-percent:400;mso-height-percent:0;mso-wrap-distance-left:18pt;mso-wrap-distance-top:7.2pt;mso-wrap-distance-right:7.2pt;mso-wrap-distance-bottom:7.2pt;mso-position-horizontal:absolute;mso-position-horizontal-relative:margin;mso-position-vertical:absolute;mso-position-vertical-relative:margin;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" o:allowincell="f" filled="f" stroked="f">
                <v:textbox inset="16.56pt,7.2pt,16.56pt,7.2pt">
                  <w:txbxContent>
                    <w:p w:rsidR="00AB31ED" w:rsidRPr="00736111" w:rsidRDefault="00AB31ED" w:rsidP="004D550E">
                      <w:pPr>
                        <w:pBdr>
                          <w:top w:val="single" w:sz="4" w:space="7"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736111">
                        <w:rPr>
                          <w:rFonts w:ascii="Bookman Old Style" w:hAnsi="Bookman Old Style"/>
                          <w:i/>
                          <w:iCs/>
                          <w:color w:val="FFFFFF" w:themeColor="background1"/>
                          <w:sz w:val="28"/>
                          <w:szCs w:val="28"/>
                        </w:rPr>
                        <w:t xml:space="preserve">Общий объем инвестиций составил </w:t>
                      </w:r>
                      <w:r w:rsidR="0085606C">
                        <w:rPr>
                          <w:rFonts w:ascii="Bookman Old Style" w:hAnsi="Bookman Old Style"/>
                          <w:i/>
                          <w:iCs/>
                          <w:color w:val="FFFFFF" w:themeColor="background1"/>
                          <w:sz w:val="28"/>
                          <w:szCs w:val="28"/>
                        </w:rPr>
                        <w:t>1276</w:t>
                      </w:r>
                      <w:r w:rsidRPr="00736111">
                        <w:rPr>
                          <w:rFonts w:ascii="Bookman Old Style" w:hAnsi="Bookman Old Style"/>
                          <w:i/>
                          <w:iCs/>
                          <w:color w:val="FFFFFF" w:themeColor="background1"/>
                          <w:sz w:val="28"/>
                          <w:szCs w:val="28"/>
                        </w:rPr>
                        <w:t xml:space="preserve"> млн. рублей</w:t>
                      </w:r>
                    </w:p>
                    <w:p w:rsidR="00AB31ED" w:rsidRDefault="00AB31ED" w:rsidP="00AB31ED">
                      <w:pPr>
                        <w:rPr>
                          <w:i/>
                          <w:iCs/>
                          <w:color w:val="FFFFFF" w:themeColor="background1"/>
                          <w:sz w:val="28"/>
                          <w:szCs w:val="28"/>
                        </w:rPr>
                      </w:pPr>
                    </w:p>
                  </w:txbxContent>
                </v:textbox>
                <w10:wrap type="square" anchorx="margin" anchory="margin"/>
              </v:rect>
            </w:pict>
          </mc:Fallback>
        </mc:AlternateContent>
      </w:r>
      <w:r w:rsidRPr="00CA5FD4">
        <w:rPr>
          <w:rFonts w:ascii="Bookman Old Style" w:hAnsi="Bookman Old Style" w:cs="Times New Roman"/>
          <w:bCs/>
          <w:iCs/>
          <w:sz w:val="28"/>
          <w:szCs w:val="28"/>
        </w:rPr>
        <w:t xml:space="preserve">738,8 млн. рублей вложено в развитие сельского хозяйства, в т. ч. 56,5 млн. рублей из бюджетов всех уровней. </w:t>
      </w:r>
      <w:proofErr w:type="spellStart"/>
      <w:r w:rsidRPr="00CA5FD4">
        <w:rPr>
          <w:rFonts w:ascii="Bookman Old Style" w:hAnsi="Bookman Old Style" w:cs="Times New Roman"/>
          <w:bCs/>
          <w:iCs/>
          <w:sz w:val="28"/>
          <w:szCs w:val="28"/>
        </w:rPr>
        <w:t>Сельхозтоваропроизводителями</w:t>
      </w:r>
      <w:proofErr w:type="spellEnd"/>
      <w:r w:rsidRPr="00CA5FD4">
        <w:rPr>
          <w:rFonts w:ascii="Bookman Old Style" w:hAnsi="Bookman Old Style" w:cs="Times New Roman"/>
          <w:bCs/>
          <w:iCs/>
          <w:sz w:val="28"/>
          <w:szCs w:val="28"/>
        </w:rPr>
        <w:t xml:space="preserve"> приобретено техники и оборудования на 556,9 млн. рублей. </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На сумму более 15,0 млн. рублей выполнены строительно-монтажные работы по подготовке оснований и инженерному оснащению физкультурно-оздоровительного комплекса открытого типа. 1,2 млн. рублей направлено на монтаж спортивного оборудования, закуплены дополнительные материалы для последующего в 2023 году обустройства беговых дорожек.</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В рамках реализации национального проекта «Жильё и городская среда» в селе Кочки реализуются мероприятия федерального проекта «Формирование комфортной городской среды». На мероприятия по благоустройству общественных пространств затрачено 11,6 млн. рублей, в </w:t>
      </w:r>
      <w:proofErr w:type="spellStart"/>
      <w:r w:rsidRPr="00CA5FD4">
        <w:rPr>
          <w:rFonts w:ascii="Bookman Old Style" w:hAnsi="Bookman Old Style" w:cs="Times New Roman"/>
          <w:bCs/>
          <w:iCs/>
          <w:sz w:val="28"/>
          <w:szCs w:val="28"/>
        </w:rPr>
        <w:t>т.ч</w:t>
      </w:r>
      <w:proofErr w:type="spellEnd"/>
      <w:r w:rsidRPr="00CA5FD4">
        <w:rPr>
          <w:rFonts w:ascii="Bookman Old Style" w:hAnsi="Bookman Old Style" w:cs="Times New Roman"/>
          <w:bCs/>
          <w:iCs/>
          <w:sz w:val="28"/>
          <w:szCs w:val="28"/>
        </w:rPr>
        <w:t xml:space="preserve">. благоустроены прилегающая территория к </w:t>
      </w:r>
      <w:proofErr w:type="spellStart"/>
      <w:r w:rsidRPr="00CA5FD4">
        <w:rPr>
          <w:rFonts w:ascii="Bookman Old Style" w:hAnsi="Bookman Old Style" w:cs="Times New Roman"/>
          <w:bCs/>
          <w:iCs/>
          <w:sz w:val="28"/>
          <w:szCs w:val="28"/>
        </w:rPr>
        <w:t>Кочковской</w:t>
      </w:r>
      <w:proofErr w:type="spellEnd"/>
      <w:r w:rsidRPr="00CA5FD4">
        <w:rPr>
          <w:rFonts w:ascii="Bookman Old Style" w:hAnsi="Bookman Old Style" w:cs="Times New Roman"/>
          <w:bCs/>
          <w:iCs/>
          <w:sz w:val="28"/>
          <w:szCs w:val="28"/>
        </w:rPr>
        <w:t xml:space="preserve"> школе, общественная территория «Сквер Памяти», территория многоквартирного дома по ул. Советская, 15. Все работы выполнены в районном центре.</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Национальный проект «Образование» реализован в двух образовательных учреждениях на общую сумму 5,1 млн. рублей. Центры естественно-научного и технологического образования «Точка роста» в рамках реализации регионального проекта «Современная школа» открыты на базе </w:t>
      </w:r>
      <w:proofErr w:type="spellStart"/>
      <w:r w:rsidRPr="00CA5FD4">
        <w:rPr>
          <w:rFonts w:ascii="Bookman Old Style" w:hAnsi="Bookman Old Style" w:cs="Times New Roman"/>
          <w:bCs/>
          <w:iCs/>
          <w:sz w:val="28"/>
          <w:szCs w:val="28"/>
        </w:rPr>
        <w:t>Решетовской</w:t>
      </w:r>
      <w:proofErr w:type="spellEnd"/>
      <w:r w:rsidRPr="00CA5FD4">
        <w:rPr>
          <w:rFonts w:ascii="Bookman Old Style" w:hAnsi="Bookman Old Style" w:cs="Times New Roman"/>
          <w:bCs/>
          <w:iCs/>
          <w:sz w:val="28"/>
          <w:szCs w:val="28"/>
        </w:rPr>
        <w:t xml:space="preserve"> и </w:t>
      </w:r>
      <w:proofErr w:type="spellStart"/>
      <w:r w:rsidRPr="00CA5FD4">
        <w:rPr>
          <w:rFonts w:ascii="Bookman Old Style" w:hAnsi="Bookman Old Style" w:cs="Times New Roman"/>
          <w:bCs/>
          <w:iCs/>
          <w:sz w:val="28"/>
          <w:szCs w:val="28"/>
        </w:rPr>
        <w:lastRenderedPageBreak/>
        <w:t>Быструхинской</w:t>
      </w:r>
      <w:proofErr w:type="spellEnd"/>
      <w:r w:rsidRPr="00CA5FD4">
        <w:rPr>
          <w:rFonts w:ascii="Bookman Old Style" w:hAnsi="Bookman Old Style" w:cs="Times New Roman"/>
          <w:bCs/>
          <w:iCs/>
          <w:sz w:val="28"/>
          <w:szCs w:val="28"/>
        </w:rPr>
        <w:t xml:space="preserve"> школ.  Таким образом, на сегодня в районе функционирует уже 4 таких центра.</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В рамках реализации НП «Цифровая экономика РФ» в поселках Новые Решеты, Республиканский и </w:t>
      </w:r>
      <w:proofErr w:type="spellStart"/>
      <w:r w:rsidRPr="00CA5FD4">
        <w:rPr>
          <w:rFonts w:ascii="Bookman Old Style" w:hAnsi="Bookman Old Style" w:cs="Times New Roman"/>
          <w:bCs/>
          <w:iCs/>
          <w:sz w:val="28"/>
          <w:szCs w:val="28"/>
        </w:rPr>
        <w:t>Ермаковский</w:t>
      </w:r>
      <w:proofErr w:type="spellEnd"/>
      <w:r w:rsidRPr="00CA5FD4">
        <w:rPr>
          <w:rFonts w:ascii="Bookman Old Style" w:hAnsi="Bookman Old Style" w:cs="Times New Roman"/>
          <w:bCs/>
          <w:iCs/>
          <w:sz w:val="28"/>
          <w:szCs w:val="28"/>
        </w:rPr>
        <w:t xml:space="preserve"> обеспечен доступ к высокоскоростному интернету 125 жилых домов через оптико-волоконные линии связи, дальнейшее подключение жилых домов указанных населенных пунктов обеспечивается за счет поставщика ПАО «Ростелеком». Кроме этого, в поселке </w:t>
      </w:r>
      <w:proofErr w:type="spellStart"/>
      <w:r w:rsidRPr="00CA5FD4">
        <w:rPr>
          <w:rFonts w:ascii="Bookman Old Style" w:hAnsi="Bookman Old Style" w:cs="Times New Roman"/>
          <w:bCs/>
          <w:iCs/>
          <w:sz w:val="28"/>
          <w:szCs w:val="28"/>
        </w:rPr>
        <w:t>Ремпубликанский</w:t>
      </w:r>
      <w:proofErr w:type="spellEnd"/>
      <w:r w:rsidRPr="00CA5FD4">
        <w:rPr>
          <w:rFonts w:ascii="Bookman Old Style" w:hAnsi="Bookman Old Style" w:cs="Times New Roman"/>
          <w:bCs/>
          <w:iCs/>
          <w:sz w:val="28"/>
          <w:szCs w:val="28"/>
        </w:rPr>
        <w:t xml:space="preserve"> введена базовая станция передвижной радиотелефонной связи для обеспечения жителей мобильной связью. </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Помимо участия в реализации национальных проектов в рамках полномочий муниципальных образований бюджетные инвестиции вложены и в другие объекты.</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Более 80 миллионов направлено в укрепление материально-технической базы образовательных организаций. 41,5 миллиона рублей из них – расходы на капитальный ремонт и приобретение оборудования в </w:t>
      </w:r>
      <w:proofErr w:type="spellStart"/>
      <w:r w:rsidRPr="00CA5FD4">
        <w:rPr>
          <w:rFonts w:ascii="Bookman Old Style" w:hAnsi="Bookman Old Style" w:cs="Times New Roman"/>
          <w:bCs/>
          <w:iCs/>
          <w:sz w:val="28"/>
          <w:szCs w:val="28"/>
        </w:rPr>
        <w:t>Черновской</w:t>
      </w:r>
      <w:proofErr w:type="spellEnd"/>
      <w:r w:rsidRPr="00CA5FD4">
        <w:rPr>
          <w:rFonts w:ascii="Bookman Old Style" w:hAnsi="Bookman Old Style" w:cs="Times New Roman"/>
          <w:bCs/>
          <w:iCs/>
          <w:sz w:val="28"/>
          <w:szCs w:val="28"/>
        </w:rPr>
        <w:t xml:space="preserve"> средней школе.</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Также отремонтированы кровли в Троицкой средней школе и </w:t>
      </w:r>
      <w:proofErr w:type="spellStart"/>
      <w:r w:rsidRPr="00CA5FD4">
        <w:rPr>
          <w:rFonts w:ascii="Bookman Old Style" w:hAnsi="Bookman Old Style" w:cs="Times New Roman"/>
          <w:bCs/>
          <w:iCs/>
          <w:sz w:val="28"/>
          <w:szCs w:val="28"/>
        </w:rPr>
        <w:t>Новорешетовском</w:t>
      </w:r>
      <w:proofErr w:type="spellEnd"/>
      <w:r w:rsidRPr="00CA5FD4">
        <w:rPr>
          <w:rFonts w:ascii="Bookman Old Style" w:hAnsi="Bookman Old Style" w:cs="Times New Roman"/>
          <w:bCs/>
          <w:iCs/>
          <w:sz w:val="28"/>
          <w:szCs w:val="28"/>
        </w:rPr>
        <w:t xml:space="preserve"> детском саду, произведен ремонт инженерных систем и полов в </w:t>
      </w:r>
      <w:proofErr w:type="spellStart"/>
      <w:r w:rsidRPr="00CA5FD4">
        <w:rPr>
          <w:rFonts w:ascii="Bookman Old Style" w:hAnsi="Bookman Old Style" w:cs="Times New Roman"/>
          <w:bCs/>
          <w:iCs/>
          <w:sz w:val="28"/>
          <w:szCs w:val="28"/>
        </w:rPr>
        <w:t>Быструхинской</w:t>
      </w:r>
      <w:proofErr w:type="spellEnd"/>
      <w:r w:rsidRPr="00CA5FD4">
        <w:rPr>
          <w:rFonts w:ascii="Bookman Old Style" w:hAnsi="Bookman Old Style" w:cs="Times New Roman"/>
          <w:bCs/>
          <w:iCs/>
          <w:sz w:val="28"/>
          <w:szCs w:val="28"/>
        </w:rPr>
        <w:t xml:space="preserve"> школе, заменены часть окон и проведен частичный ремонт помещений в </w:t>
      </w:r>
      <w:proofErr w:type="spellStart"/>
      <w:r w:rsidRPr="00CA5FD4">
        <w:rPr>
          <w:rFonts w:ascii="Bookman Old Style" w:hAnsi="Bookman Old Style" w:cs="Times New Roman"/>
          <w:bCs/>
          <w:iCs/>
          <w:sz w:val="28"/>
          <w:szCs w:val="28"/>
        </w:rPr>
        <w:t>Жуланском</w:t>
      </w:r>
      <w:proofErr w:type="spellEnd"/>
      <w:r w:rsidRPr="00CA5FD4">
        <w:rPr>
          <w:rFonts w:ascii="Bookman Old Style" w:hAnsi="Bookman Old Style" w:cs="Times New Roman"/>
          <w:bCs/>
          <w:iCs/>
          <w:sz w:val="28"/>
          <w:szCs w:val="28"/>
        </w:rPr>
        <w:t xml:space="preserve"> детском саду, модернизирована автоматическая пожарная сигнализация и система пожарного мониторинга в </w:t>
      </w:r>
      <w:proofErr w:type="spellStart"/>
      <w:r w:rsidRPr="00CA5FD4">
        <w:rPr>
          <w:rFonts w:ascii="Bookman Old Style" w:hAnsi="Bookman Old Style" w:cs="Times New Roman"/>
          <w:bCs/>
          <w:iCs/>
          <w:sz w:val="28"/>
          <w:szCs w:val="28"/>
        </w:rPr>
        <w:t>Новорешетовской</w:t>
      </w:r>
      <w:proofErr w:type="spellEnd"/>
      <w:r w:rsidRPr="00CA5FD4">
        <w:rPr>
          <w:rFonts w:ascii="Bookman Old Style" w:hAnsi="Bookman Old Style" w:cs="Times New Roman"/>
          <w:bCs/>
          <w:iCs/>
          <w:sz w:val="28"/>
          <w:szCs w:val="28"/>
        </w:rPr>
        <w:t xml:space="preserve"> школе и многое другое.</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В рамках государственной программы Новосибирской области «Культура Новосибирской области» продолжено оснащение необходимым оборудованием районного Дома культуры. В отчетном году на эти цели направлено 373,0 тысячи рублей. Еще в 2-х домах культуры </w:t>
      </w:r>
      <w:proofErr w:type="spellStart"/>
      <w:r w:rsidRPr="00CA5FD4">
        <w:rPr>
          <w:rFonts w:ascii="Bookman Old Style" w:hAnsi="Bookman Old Style" w:cs="Times New Roman"/>
          <w:bCs/>
          <w:iCs/>
          <w:sz w:val="28"/>
          <w:szCs w:val="28"/>
        </w:rPr>
        <w:t>Новоцелинном</w:t>
      </w:r>
      <w:proofErr w:type="spellEnd"/>
      <w:r w:rsidRPr="00CA5FD4">
        <w:rPr>
          <w:rFonts w:ascii="Bookman Old Style" w:hAnsi="Bookman Old Style" w:cs="Times New Roman"/>
          <w:bCs/>
          <w:iCs/>
          <w:sz w:val="28"/>
          <w:szCs w:val="28"/>
        </w:rPr>
        <w:t xml:space="preserve"> и </w:t>
      </w:r>
      <w:proofErr w:type="spellStart"/>
      <w:r w:rsidRPr="00CA5FD4">
        <w:rPr>
          <w:rFonts w:ascii="Bookman Old Style" w:hAnsi="Bookman Old Style" w:cs="Times New Roman"/>
          <w:bCs/>
          <w:iCs/>
          <w:sz w:val="28"/>
          <w:szCs w:val="28"/>
        </w:rPr>
        <w:t>Жуланском</w:t>
      </w:r>
      <w:proofErr w:type="spellEnd"/>
      <w:r w:rsidRPr="00CA5FD4">
        <w:rPr>
          <w:rFonts w:ascii="Bookman Old Style" w:hAnsi="Bookman Old Style" w:cs="Times New Roman"/>
          <w:bCs/>
          <w:iCs/>
          <w:sz w:val="28"/>
          <w:szCs w:val="28"/>
        </w:rPr>
        <w:t xml:space="preserve"> проведены частичные ремонты и приобретено оборудование за счет средств бюджетов сельских поселений.  Так же отремонтированы часть помещений в здании центральной библиотеки и пол в районном доме культуры. </w:t>
      </w:r>
    </w:p>
    <w:p w:rsidR="0085606C" w:rsidRPr="00CA5FD4" w:rsidRDefault="0085606C" w:rsidP="0085606C">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Продолжен капитальный ремонт здания дома милосердия в с. Решеты. За счет средств государственной программы Новосибирской области на эти цели направлено 8,5 миллионов </w:t>
      </w:r>
      <w:r w:rsidRPr="00CA5FD4">
        <w:rPr>
          <w:rFonts w:ascii="Bookman Old Style" w:hAnsi="Bookman Old Style" w:cs="Times New Roman"/>
          <w:bCs/>
          <w:iCs/>
          <w:sz w:val="28"/>
          <w:szCs w:val="28"/>
        </w:rPr>
        <w:lastRenderedPageBreak/>
        <w:t>рублей. Кроме того, 1,8 миллиона рублей израсходовано на капитальный ремонт отопления и водоснабжения здания комплексного центра социального обслуживания населения в с. Кочки.</w:t>
      </w:r>
    </w:p>
    <w:p w:rsidR="004D550E" w:rsidRPr="00CA5FD4" w:rsidRDefault="0085606C" w:rsidP="0085606C">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bCs/>
          <w:iCs/>
          <w:sz w:val="28"/>
          <w:szCs w:val="28"/>
        </w:rPr>
        <w:t>Администрацией района приобретены два пассажирских автобуса ПАЗ Вектор.  Расходы в сумме более 16 млн. рублей произведены в рамках государственных программ Новосибирской области «Обеспечение доступности услуг общественного пассажирского транспорта» и «Управление финансами Новосибирской области».</w:t>
      </w:r>
    </w:p>
    <w:p w:rsidR="00991F0E" w:rsidRPr="00CA5FD4" w:rsidRDefault="00991F0E" w:rsidP="009B4C92">
      <w:pPr>
        <w:spacing w:after="0" w:line="276" w:lineRule="auto"/>
        <w:ind w:firstLine="709"/>
        <w:jc w:val="both"/>
        <w:rPr>
          <w:rFonts w:ascii="Bookman Old Style" w:hAnsi="Bookman Old Style" w:cs="Times New Roman"/>
          <w:b/>
          <w:sz w:val="28"/>
          <w:szCs w:val="28"/>
        </w:rPr>
      </w:pPr>
    </w:p>
    <w:p w:rsidR="0086013D" w:rsidRPr="00CA5FD4" w:rsidRDefault="0086013D"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Доходы населения</w:t>
      </w:r>
    </w:p>
    <w:p w:rsidR="00EF39B0" w:rsidRPr="00CA5FD4" w:rsidRDefault="00EF39B0" w:rsidP="00EF39B0">
      <w:pPr>
        <w:spacing w:after="0" w:line="276" w:lineRule="auto"/>
        <w:ind w:firstLine="709"/>
        <w:jc w:val="both"/>
        <w:rPr>
          <w:rFonts w:ascii="Bookman Old Style" w:hAnsi="Bookman Old Style" w:cs="Times New Roman"/>
          <w:noProof/>
          <w:sz w:val="28"/>
          <w:szCs w:val="28"/>
          <w:lang w:eastAsia="ru-RU"/>
        </w:rPr>
      </w:pPr>
      <w:r w:rsidRPr="00CA5FD4">
        <w:rPr>
          <w:rFonts w:ascii="Bookman Old Style" w:hAnsi="Bookman Old Style" w:cs="Times New Roman"/>
          <w:noProof/>
          <w:sz w:val="28"/>
          <w:szCs w:val="28"/>
          <w:lang w:eastAsia="ru-RU"/>
        </w:rPr>
        <w:t>Численность населения, проживающего в районе, составляет 12983 человека. В экономике занято 3316 человек, из них 648 человек занято в сельском хозяйстве.</w:t>
      </w:r>
    </w:p>
    <w:p w:rsidR="00EF39B0" w:rsidRPr="00CA5FD4" w:rsidRDefault="00EF39B0" w:rsidP="00EF39B0">
      <w:pPr>
        <w:spacing w:after="0" w:line="276" w:lineRule="auto"/>
        <w:ind w:firstLine="709"/>
        <w:jc w:val="both"/>
        <w:rPr>
          <w:rFonts w:ascii="Bookman Old Style" w:hAnsi="Bookman Old Style" w:cs="Times New Roman"/>
          <w:noProof/>
          <w:sz w:val="28"/>
          <w:szCs w:val="28"/>
          <w:lang w:eastAsia="ru-RU"/>
        </w:rPr>
      </w:pPr>
      <w:r w:rsidRPr="00CA5FD4">
        <w:rPr>
          <w:rFonts w:ascii="Bookman Old Style" w:hAnsi="Bookman Old Style" w:cs="Times New Roman"/>
          <w:noProof/>
          <w:sz w:val="28"/>
          <w:szCs w:val="28"/>
          <w:lang w:eastAsia="ru-RU"/>
        </w:rPr>
        <w:t>На 31 декабря 2022 года в районе числится 4597 пенсионеров против 4615 пенсионеров в 2021 году. Средний размер пенсий в 2022 году составил 17 609 рублей.</w:t>
      </w:r>
    </w:p>
    <w:p w:rsidR="00EF39B0" w:rsidRPr="00CA5FD4" w:rsidRDefault="00EF39B0" w:rsidP="00EF39B0">
      <w:pPr>
        <w:spacing w:after="0" w:line="276" w:lineRule="auto"/>
        <w:ind w:firstLine="709"/>
        <w:jc w:val="both"/>
        <w:rPr>
          <w:rFonts w:ascii="Bookman Old Style" w:hAnsi="Bookman Old Style" w:cs="Times New Roman"/>
          <w:noProof/>
          <w:sz w:val="28"/>
          <w:szCs w:val="28"/>
          <w:lang w:eastAsia="ru-RU"/>
        </w:rPr>
      </w:pPr>
      <w:r w:rsidRPr="00CA5FD4">
        <w:rPr>
          <w:rFonts w:ascii="Bookman Old Style" w:hAnsi="Bookman Old Style" w:cs="Times New Roman"/>
          <w:noProof/>
          <w:sz w:val="28"/>
          <w:szCs w:val="28"/>
          <w:lang w:eastAsia="ru-RU"/>
        </w:rPr>
        <w:t>Уровень безработицы на конец года составил 3,6 %, что ниже уровня прошлого года на 1,6 процентных пункта.</w:t>
      </w:r>
    </w:p>
    <w:p w:rsidR="00EF39B0" w:rsidRPr="00CA5FD4" w:rsidRDefault="00EF39B0" w:rsidP="00EF39B0">
      <w:pPr>
        <w:spacing w:after="0" w:line="276" w:lineRule="auto"/>
        <w:ind w:firstLine="709"/>
        <w:jc w:val="both"/>
        <w:rPr>
          <w:rFonts w:ascii="Bookman Old Style" w:hAnsi="Bookman Old Style" w:cs="Times New Roman"/>
          <w:noProof/>
          <w:sz w:val="28"/>
          <w:szCs w:val="28"/>
          <w:lang w:eastAsia="ru-RU"/>
        </w:rPr>
      </w:pPr>
      <w:r w:rsidRPr="00CA5FD4">
        <w:rPr>
          <w:rFonts w:ascii="Bookman Old Style" w:hAnsi="Bookman Old Style" w:cs="Times New Roman"/>
          <w:noProof/>
          <w:sz w:val="28"/>
          <w:szCs w:val="28"/>
          <w:lang w:eastAsia="ru-RU"/>
        </w:rPr>
        <w:t>Не смотря на тяжелую экономическую ситуацию в сфере производства, уровень заработной платы вырос на 35 %. Рост обусловлен, в первую очередь, увеличением уровня минимального размера оплаты труда работников, а также увеличением фондов оплаты труда в орган</w:t>
      </w:r>
      <w:r w:rsidR="002946B4" w:rsidRPr="00CA5FD4">
        <w:rPr>
          <w:rFonts w:ascii="Bookman Old Style" w:hAnsi="Bookman Old Style" w:cs="Times New Roman"/>
          <w:noProof/>
          <w:sz w:val="28"/>
          <w:szCs w:val="28"/>
          <w:lang w:eastAsia="ru-RU"/>
        </w:rPr>
        <w:t>изациях бюджетной сферы с 1 июля</w:t>
      </w:r>
      <w:r w:rsidRPr="00CA5FD4">
        <w:rPr>
          <w:rFonts w:ascii="Bookman Old Style" w:hAnsi="Bookman Old Style" w:cs="Times New Roman"/>
          <w:noProof/>
          <w:sz w:val="28"/>
          <w:szCs w:val="28"/>
          <w:lang w:eastAsia="ru-RU"/>
        </w:rPr>
        <w:t xml:space="preserve"> и 1 октября заработной платы на уровень инфляции.</w:t>
      </w:r>
    </w:p>
    <w:p w:rsidR="00E406C7" w:rsidRPr="00CA5FD4" w:rsidRDefault="00EF39B0" w:rsidP="00EF39B0">
      <w:pPr>
        <w:spacing w:after="0" w:line="276" w:lineRule="auto"/>
        <w:ind w:firstLine="709"/>
        <w:jc w:val="both"/>
        <w:rPr>
          <w:rFonts w:ascii="Bookman Old Style" w:hAnsi="Bookman Old Style" w:cs="Times New Roman"/>
          <w:noProof/>
          <w:sz w:val="28"/>
          <w:szCs w:val="28"/>
          <w:lang w:eastAsia="ru-RU"/>
        </w:rPr>
      </w:pPr>
      <w:r w:rsidRPr="00CA5FD4">
        <w:rPr>
          <w:rFonts w:ascii="Bookman Old Style" w:hAnsi="Bookman Old Style" w:cs="Times New Roman"/>
          <w:noProof/>
          <w:sz w:val="28"/>
          <w:szCs w:val="28"/>
          <w:lang w:eastAsia="ru-RU"/>
        </w:rPr>
        <w:t>Выше уровня прошлого года сложился среднедушевой доход населения и составил 22 782 рублей (рост – 22,8 %).</w:t>
      </w:r>
    </w:p>
    <w:p w:rsidR="00EF39B0" w:rsidRPr="00CA5FD4" w:rsidRDefault="00EF39B0" w:rsidP="00EF39B0">
      <w:pPr>
        <w:spacing w:after="0" w:line="276" w:lineRule="auto"/>
        <w:ind w:firstLine="709"/>
        <w:jc w:val="both"/>
        <w:rPr>
          <w:rFonts w:ascii="Bookman Old Style" w:hAnsi="Bookman Old Style" w:cs="Times New Roman"/>
          <w:sz w:val="28"/>
          <w:szCs w:val="28"/>
        </w:rPr>
      </w:pPr>
    </w:p>
    <w:p w:rsidR="00A72A7E" w:rsidRPr="00CA5FD4" w:rsidRDefault="00A72A7E" w:rsidP="009B4C92">
      <w:pPr>
        <w:spacing w:after="0" w:line="276" w:lineRule="auto"/>
        <w:ind w:firstLine="709"/>
        <w:jc w:val="both"/>
        <w:rPr>
          <w:rFonts w:ascii="Bookman Old Style" w:hAnsi="Bookman Old Style" w:cs="Times New Roman"/>
          <w:b/>
          <w:sz w:val="28"/>
          <w:szCs w:val="28"/>
        </w:rPr>
      </w:pPr>
      <w:r w:rsidRPr="00CA5FD4">
        <w:rPr>
          <w:rFonts w:ascii="Bookman Old Style" w:hAnsi="Bookman Old Style" w:cs="Times New Roman"/>
          <w:b/>
          <w:sz w:val="28"/>
          <w:szCs w:val="28"/>
        </w:rPr>
        <w:t>Дорожное хозяйство и транспорт</w:t>
      </w:r>
    </w:p>
    <w:p w:rsidR="00A72A7E" w:rsidRPr="00CA5FD4" w:rsidRDefault="00A72A7E"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Не смотря на отсутствие железной дороги, авиационного и речного транспортного сообщения Кочковский район характеризуется высокой транспортной доступностью. Это связано с пересечением территории района автодорогой Новосибирск-Павлодар, по которой осуществляется транспортное сообщение с Новосибирском. </w:t>
      </w:r>
    </w:p>
    <w:p w:rsidR="00A72A7E" w:rsidRPr="00CA5FD4" w:rsidRDefault="00A72A7E"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lastRenderedPageBreak/>
        <w:t>Транспортная инфраструктура района представлена сетью автомобильных дорог протяженностью 438,7 км, в том числе 269,7 км дорог с твердым покрытием.</w:t>
      </w:r>
    </w:p>
    <w:p w:rsidR="002946B4" w:rsidRPr="00CA5FD4" w:rsidRDefault="002946B4" w:rsidP="002946B4">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 xml:space="preserve">320,3 млн. рублей направлено в дорожную отрасль, в </w:t>
      </w:r>
      <w:proofErr w:type="spellStart"/>
      <w:r w:rsidRPr="00CA5FD4">
        <w:rPr>
          <w:rFonts w:ascii="Bookman Old Style" w:hAnsi="Bookman Old Style" w:cs="Times New Roman"/>
          <w:bCs/>
          <w:iCs/>
          <w:sz w:val="28"/>
          <w:szCs w:val="28"/>
        </w:rPr>
        <w:t>т.ч</w:t>
      </w:r>
      <w:proofErr w:type="spellEnd"/>
      <w:r w:rsidRPr="00CA5FD4">
        <w:rPr>
          <w:rFonts w:ascii="Bookman Old Style" w:hAnsi="Bookman Old Style" w:cs="Times New Roman"/>
          <w:bCs/>
          <w:iCs/>
          <w:sz w:val="28"/>
          <w:szCs w:val="28"/>
        </w:rPr>
        <w:t>. 282,5 млн. рублей на ремонт региональных дорог ТУАД, проходящих по территории района. Отремонтировано 7,5 км дорог в 10 населенных пунктах района.</w:t>
      </w:r>
    </w:p>
    <w:p w:rsidR="001C08A1" w:rsidRPr="00CA5FD4" w:rsidRDefault="00A72A7E"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Все населенные пункты района имеют транспортное сообщение с районным и областным центром по дорогам с твердым покрытием. Воспользоваться регулярным автобусным сообщением имеет возможность 99,</w:t>
      </w:r>
      <w:r w:rsidR="00ED2C1C" w:rsidRPr="00CA5FD4">
        <w:rPr>
          <w:rFonts w:ascii="Bookman Old Style" w:hAnsi="Bookman Old Style" w:cs="Times New Roman"/>
          <w:sz w:val="28"/>
          <w:szCs w:val="28"/>
        </w:rPr>
        <w:t>9</w:t>
      </w:r>
      <w:r w:rsidR="00AC4CC5" w:rsidRPr="00CA5FD4">
        <w:rPr>
          <w:rFonts w:ascii="Bookman Old Style" w:hAnsi="Bookman Old Style" w:cs="Times New Roman"/>
          <w:sz w:val="28"/>
          <w:szCs w:val="28"/>
        </w:rPr>
        <w:t xml:space="preserve"> </w:t>
      </w:r>
      <w:r w:rsidRPr="00CA5FD4">
        <w:rPr>
          <w:rFonts w:ascii="Bookman Old Style" w:hAnsi="Bookman Old Style" w:cs="Times New Roman"/>
          <w:sz w:val="28"/>
          <w:szCs w:val="28"/>
        </w:rPr>
        <w:t>% населения Кочковского района (не имеет регулярного транспортного сообщения пос. Новый Вокзал</w:t>
      </w:r>
      <w:r w:rsidR="00AC4CC5" w:rsidRPr="00CA5FD4">
        <w:rPr>
          <w:rFonts w:ascii="Bookman Old Style" w:hAnsi="Bookman Old Style" w:cs="Times New Roman"/>
          <w:sz w:val="28"/>
          <w:szCs w:val="28"/>
        </w:rPr>
        <w:t xml:space="preserve">, пос. </w:t>
      </w:r>
      <w:proofErr w:type="spellStart"/>
      <w:r w:rsidR="00AC4CC5" w:rsidRPr="00CA5FD4">
        <w:rPr>
          <w:rFonts w:ascii="Bookman Old Style" w:hAnsi="Bookman Old Style" w:cs="Times New Roman"/>
          <w:sz w:val="28"/>
          <w:szCs w:val="28"/>
        </w:rPr>
        <w:t>Земировский</w:t>
      </w:r>
      <w:proofErr w:type="spellEnd"/>
      <w:r w:rsidR="00AC4CC5" w:rsidRPr="00CA5FD4">
        <w:rPr>
          <w:rFonts w:ascii="Bookman Old Style" w:hAnsi="Bookman Old Style" w:cs="Times New Roman"/>
          <w:sz w:val="28"/>
          <w:szCs w:val="28"/>
        </w:rPr>
        <w:t>, пос. Николаевский</w:t>
      </w:r>
      <w:r w:rsidRPr="00CA5FD4">
        <w:rPr>
          <w:rFonts w:ascii="Bookman Old Style" w:hAnsi="Bookman Old Style" w:cs="Times New Roman"/>
          <w:sz w:val="28"/>
          <w:szCs w:val="28"/>
        </w:rPr>
        <w:t>). Перевозки пассажиров по внутрирайонным маршрутам, а также по маршрутам Кочки-Новосибирск и Кочки-Каргат осуществляет ООО «</w:t>
      </w:r>
      <w:proofErr w:type="spellStart"/>
      <w:r w:rsidRPr="00CA5FD4">
        <w:rPr>
          <w:rFonts w:ascii="Bookman Old Style" w:hAnsi="Bookman Old Style" w:cs="Times New Roman"/>
          <w:sz w:val="28"/>
          <w:szCs w:val="28"/>
        </w:rPr>
        <w:t>Кочковское</w:t>
      </w:r>
      <w:proofErr w:type="spellEnd"/>
      <w:r w:rsidRPr="00CA5FD4">
        <w:rPr>
          <w:rFonts w:ascii="Bookman Old Style" w:hAnsi="Bookman Old Style" w:cs="Times New Roman"/>
          <w:sz w:val="28"/>
          <w:szCs w:val="28"/>
        </w:rPr>
        <w:t xml:space="preserve"> АТП». </w:t>
      </w:r>
    </w:p>
    <w:p w:rsidR="00675BF0" w:rsidRPr="00CA5FD4" w:rsidRDefault="00675BF0" w:rsidP="009B4C92">
      <w:pPr>
        <w:spacing w:after="0" w:line="276" w:lineRule="auto"/>
        <w:ind w:firstLine="709"/>
        <w:jc w:val="both"/>
        <w:rPr>
          <w:rFonts w:ascii="Bookman Old Style" w:hAnsi="Bookman Old Style" w:cs="Times New Roman"/>
          <w:sz w:val="28"/>
          <w:szCs w:val="28"/>
        </w:rPr>
      </w:pPr>
    </w:p>
    <w:p w:rsidR="00A72A7E" w:rsidRPr="00CA5FD4" w:rsidRDefault="00A72A7E"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noProof/>
          <w:sz w:val="28"/>
          <w:szCs w:val="28"/>
          <w:lang w:eastAsia="ru-RU"/>
        </w:rPr>
        <w:drawing>
          <wp:inline distT="0" distB="0" distL="0" distR="0">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2A7E" w:rsidRPr="00CA5FD4" w:rsidRDefault="0034641A"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Рисунок 3 – Объем транспортных услуг.</w:t>
      </w:r>
    </w:p>
    <w:p w:rsidR="00A72A7E" w:rsidRPr="00CA5FD4" w:rsidRDefault="00A72A7E" w:rsidP="009B4C92">
      <w:pPr>
        <w:spacing w:after="0" w:line="276" w:lineRule="auto"/>
        <w:ind w:firstLine="709"/>
        <w:jc w:val="both"/>
        <w:rPr>
          <w:rFonts w:ascii="Bookman Old Style" w:hAnsi="Bookman Old Style" w:cs="Times New Roman"/>
          <w:sz w:val="28"/>
          <w:szCs w:val="28"/>
        </w:rPr>
      </w:pPr>
    </w:p>
    <w:p w:rsidR="001611CE" w:rsidRPr="00CA5FD4" w:rsidRDefault="001611CE" w:rsidP="001611CE">
      <w:pPr>
        <w:spacing w:after="0" w:line="276" w:lineRule="auto"/>
        <w:ind w:firstLine="709"/>
        <w:jc w:val="both"/>
        <w:rPr>
          <w:rFonts w:ascii="Bookman Old Style" w:hAnsi="Bookman Old Style" w:cs="Times New Roman"/>
          <w:sz w:val="28"/>
          <w:szCs w:val="28"/>
        </w:rPr>
      </w:pPr>
      <w:bookmarkStart w:id="1" w:name="_Hlk480362329"/>
      <w:r w:rsidRPr="00CA5FD4">
        <w:rPr>
          <w:rFonts w:ascii="Bookman Old Style" w:hAnsi="Bookman Old Style" w:cs="Times New Roman"/>
          <w:sz w:val="28"/>
          <w:szCs w:val="28"/>
        </w:rPr>
        <w:t xml:space="preserve">Объем грузовых перевозок составил </w:t>
      </w:r>
      <w:r w:rsidR="00A362D9" w:rsidRPr="00CA5FD4">
        <w:rPr>
          <w:rFonts w:ascii="Bookman Old Style" w:hAnsi="Bookman Old Style" w:cs="Times New Roman"/>
          <w:sz w:val="28"/>
          <w:szCs w:val="28"/>
        </w:rPr>
        <w:t>242,2</w:t>
      </w:r>
      <w:r w:rsidRPr="00CA5FD4">
        <w:rPr>
          <w:rFonts w:ascii="Bookman Old Style" w:hAnsi="Bookman Old Style" w:cs="Times New Roman"/>
          <w:sz w:val="28"/>
          <w:szCs w:val="28"/>
        </w:rPr>
        <w:t xml:space="preserve"> тыс. тонн, что выше уровня 20</w:t>
      </w:r>
      <w:r w:rsidR="00AF1606" w:rsidRPr="00CA5FD4">
        <w:rPr>
          <w:rFonts w:ascii="Bookman Old Style" w:hAnsi="Bookman Old Style" w:cs="Times New Roman"/>
          <w:sz w:val="28"/>
          <w:szCs w:val="28"/>
        </w:rPr>
        <w:t>2</w:t>
      </w:r>
      <w:r w:rsidR="00A362D9" w:rsidRPr="00CA5FD4">
        <w:rPr>
          <w:rFonts w:ascii="Bookman Old Style" w:hAnsi="Bookman Old Style" w:cs="Times New Roman"/>
          <w:sz w:val="28"/>
          <w:szCs w:val="28"/>
        </w:rPr>
        <w:t>1</w:t>
      </w:r>
      <w:r w:rsidRPr="00CA5FD4">
        <w:rPr>
          <w:rFonts w:ascii="Bookman Old Style" w:hAnsi="Bookman Old Style" w:cs="Times New Roman"/>
          <w:sz w:val="28"/>
          <w:szCs w:val="28"/>
        </w:rPr>
        <w:t xml:space="preserve"> года на </w:t>
      </w:r>
      <w:r w:rsidR="00A362D9" w:rsidRPr="00CA5FD4">
        <w:rPr>
          <w:rFonts w:ascii="Bookman Old Style" w:hAnsi="Bookman Old Style" w:cs="Times New Roman"/>
          <w:sz w:val="28"/>
          <w:szCs w:val="28"/>
        </w:rPr>
        <w:t>1,9</w:t>
      </w:r>
      <w:r w:rsidRPr="00CA5FD4">
        <w:rPr>
          <w:rFonts w:ascii="Bookman Old Style" w:hAnsi="Bookman Old Style" w:cs="Times New Roman"/>
          <w:sz w:val="28"/>
          <w:szCs w:val="28"/>
        </w:rPr>
        <w:t xml:space="preserve"> %. Подавляющую часть перевозимых грузов составляет сельхозпродукция, объем </w:t>
      </w:r>
      <w:r w:rsidRPr="00CA5FD4">
        <w:rPr>
          <w:rFonts w:ascii="Bookman Old Style" w:hAnsi="Bookman Old Style" w:cs="Times New Roman"/>
          <w:sz w:val="28"/>
          <w:szCs w:val="28"/>
        </w:rPr>
        <w:lastRenderedPageBreak/>
        <w:t>которой в натуральном выражении вырос, соответственно, выросли объемы грузоперевозок.</w:t>
      </w:r>
    </w:p>
    <w:p w:rsidR="001611CE" w:rsidRPr="00CA5FD4" w:rsidRDefault="001611CE" w:rsidP="001611CE">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Число перевезенных пассажиров </w:t>
      </w:r>
      <w:r w:rsidR="00AF1606" w:rsidRPr="00CA5FD4">
        <w:rPr>
          <w:rFonts w:ascii="Bookman Old Style" w:hAnsi="Bookman Old Style" w:cs="Times New Roman"/>
          <w:sz w:val="28"/>
          <w:szCs w:val="28"/>
        </w:rPr>
        <w:t>выросло</w:t>
      </w:r>
      <w:r w:rsidRPr="00CA5FD4">
        <w:rPr>
          <w:rFonts w:ascii="Bookman Old Style" w:hAnsi="Bookman Old Style" w:cs="Times New Roman"/>
          <w:sz w:val="28"/>
          <w:szCs w:val="28"/>
        </w:rPr>
        <w:t xml:space="preserve"> на </w:t>
      </w:r>
      <w:r w:rsidR="00A362D9" w:rsidRPr="00CA5FD4">
        <w:rPr>
          <w:rFonts w:ascii="Bookman Old Style" w:hAnsi="Bookman Old Style" w:cs="Times New Roman"/>
          <w:sz w:val="28"/>
          <w:szCs w:val="28"/>
        </w:rPr>
        <w:t>4,8</w:t>
      </w:r>
      <w:r w:rsidRPr="00CA5FD4">
        <w:rPr>
          <w:rFonts w:ascii="Bookman Old Style" w:hAnsi="Bookman Old Style" w:cs="Times New Roman"/>
          <w:sz w:val="28"/>
          <w:szCs w:val="28"/>
        </w:rPr>
        <w:t xml:space="preserve"> % и составило </w:t>
      </w:r>
      <w:r w:rsidR="00A362D9" w:rsidRPr="00CA5FD4">
        <w:rPr>
          <w:rFonts w:ascii="Bookman Old Style" w:hAnsi="Bookman Old Style" w:cs="Times New Roman"/>
          <w:sz w:val="28"/>
          <w:szCs w:val="28"/>
        </w:rPr>
        <w:t>156,6</w:t>
      </w:r>
      <w:r w:rsidRPr="00CA5FD4">
        <w:rPr>
          <w:rFonts w:ascii="Bookman Old Style" w:hAnsi="Bookman Old Style" w:cs="Times New Roman"/>
          <w:sz w:val="28"/>
          <w:szCs w:val="28"/>
        </w:rPr>
        <w:t xml:space="preserve"> тысяч. </w:t>
      </w:r>
    </w:p>
    <w:bookmarkEnd w:id="1"/>
    <w:p w:rsidR="00495768" w:rsidRPr="00CA5FD4" w:rsidRDefault="00495768" w:rsidP="009B4C92">
      <w:pPr>
        <w:spacing w:after="0" w:line="276" w:lineRule="auto"/>
        <w:ind w:firstLine="709"/>
        <w:jc w:val="both"/>
        <w:rPr>
          <w:rFonts w:ascii="Bookman Old Style" w:hAnsi="Bookman Old Style" w:cs="Times New Roman"/>
          <w:sz w:val="28"/>
          <w:szCs w:val="28"/>
        </w:rPr>
      </w:pPr>
    </w:p>
    <w:p w:rsidR="000E3EEB" w:rsidRPr="00CA5FD4" w:rsidRDefault="000E3EEB" w:rsidP="009B4C92">
      <w:pPr>
        <w:spacing w:after="0" w:line="276" w:lineRule="auto"/>
        <w:ind w:firstLine="709"/>
        <w:jc w:val="both"/>
        <w:rPr>
          <w:rFonts w:ascii="Bookman Old Style" w:hAnsi="Bookman Old Style" w:cs="Times New Roman"/>
          <w:sz w:val="28"/>
          <w:szCs w:val="28"/>
        </w:rPr>
      </w:pPr>
    </w:p>
    <w:p w:rsidR="000E3EEB" w:rsidRPr="00CA5FD4" w:rsidRDefault="000E3EEB" w:rsidP="009B4C92">
      <w:pPr>
        <w:spacing w:after="0" w:line="276" w:lineRule="auto"/>
        <w:ind w:firstLine="709"/>
        <w:jc w:val="both"/>
        <w:rPr>
          <w:rFonts w:ascii="Bookman Old Style" w:hAnsi="Bookman Old Style" w:cs="Times New Roman"/>
          <w:sz w:val="28"/>
          <w:szCs w:val="28"/>
        </w:rPr>
      </w:pPr>
    </w:p>
    <w:p w:rsidR="000E3EEB" w:rsidRPr="00CA5FD4" w:rsidRDefault="000E3EEB" w:rsidP="009B4C92">
      <w:pPr>
        <w:spacing w:after="0" w:line="276" w:lineRule="auto"/>
        <w:ind w:firstLine="709"/>
        <w:jc w:val="both"/>
        <w:rPr>
          <w:rFonts w:ascii="Bookman Old Style" w:hAnsi="Bookman Old Style" w:cs="Times New Roman"/>
          <w:sz w:val="28"/>
          <w:szCs w:val="28"/>
        </w:rPr>
      </w:pPr>
    </w:p>
    <w:p w:rsidR="0034641A" w:rsidRPr="00CA5FD4" w:rsidRDefault="0034641A"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CA5FD4">
        <w:rPr>
          <w:rFonts w:ascii="Bookman Old Style" w:hAnsi="Bookman Old Style" w:cs="Times New Roman"/>
          <w:b/>
          <w:color w:val="171717" w:themeColor="background2" w:themeShade="1A"/>
          <w:sz w:val="28"/>
          <w:szCs w:val="28"/>
        </w:rPr>
        <w:t>Здравоохранение и здоровье населения</w:t>
      </w:r>
    </w:p>
    <w:p w:rsidR="00F42192" w:rsidRPr="00CA5FD4" w:rsidRDefault="00F42192" w:rsidP="00F42192">
      <w:pPr>
        <w:spacing w:after="0" w:line="276" w:lineRule="auto"/>
        <w:ind w:left="1080"/>
        <w:rPr>
          <w:rFonts w:ascii="Bookman Old Style" w:hAnsi="Bookman Old Style" w:cs="Times New Roman"/>
          <w:b/>
          <w:color w:val="171717" w:themeColor="background2" w:themeShade="1A"/>
          <w:sz w:val="28"/>
          <w:szCs w:val="28"/>
        </w:rPr>
      </w:pPr>
    </w:p>
    <w:p w:rsidR="00024A4D" w:rsidRPr="00CA5FD4" w:rsidRDefault="00024A4D"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Система здравоохранения Кочковского района представлена ГБУЗ НСО «</w:t>
      </w:r>
      <w:proofErr w:type="spellStart"/>
      <w:r w:rsidRPr="00CA5FD4">
        <w:rPr>
          <w:rFonts w:ascii="Bookman Old Style" w:hAnsi="Bookman Old Style" w:cs="Times New Roman"/>
          <w:sz w:val="28"/>
          <w:szCs w:val="28"/>
        </w:rPr>
        <w:t>Кочковская</w:t>
      </w:r>
      <w:proofErr w:type="spellEnd"/>
      <w:r w:rsidRPr="00CA5FD4">
        <w:rPr>
          <w:rFonts w:ascii="Bookman Old Style" w:hAnsi="Bookman Old Style" w:cs="Times New Roman"/>
          <w:sz w:val="28"/>
          <w:szCs w:val="28"/>
        </w:rPr>
        <w:t xml:space="preserve"> ЦРБ», 3-мя врачебными амбулаториями, 13 фельдшерско-акушерскими пунктами. Мощность амбулаторно-поликлинических учреждений района составляет 350 посещений в смену. На базе ЦРБ функционирует отделение скорой помощи с 2-ми круглосуточными бригадами, с радиусом обслуживания на всю территорию района.</w:t>
      </w:r>
    </w:p>
    <w:p w:rsidR="007C1FCF" w:rsidRPr="00CA5FD4" w:rsidRDefault="007C1FCF" w:rsidP="009B4C92">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Основными задачами органов местного самоуправления в сфере здравоохранения являются повышение доступности и качества медицинских услуг, профилактика заболеваний и пропаганда здорового образа жизни. </w:t>
      </w:r>
    </w:p>
    <w:p w:rsidR="00E7143E" w:rsidRPr="00CA5FD4" w:rsidRDefault="00E7143E" w:rsidP="00E7143E">
      <w:pPr>
        <w:spacing w:after="0" w:line="276" w:lineRule="auto"/>
        <w:ind w:firstLine="709"/>
        <w:jc w:val="both"/>
        <w:rPr>
          <w:rFonts w:ascii="Bookman Old Style" w:hAnsi="Bookman Old Style" w:cs="Times New Roman"/>
          <w:bCs/>
          <w:iCs/>
          <w:sz w:val="28"/>
          <w:szCs w:val="28"/>
        </w:rPr>
      </w:pPr>
      <w:r w:rsidRPr="00CA5FD4">
        <w:rPr>
          <w:rFonts w:ascii="Bookman Old Style" w:hAnsi="Bookman Old Style" w:cs="Times New Roman"/>
          <w:bCs/>
          <w:iCs/>
          <w:sz w:val="28"/>
          <w:szCs w:val="28"/>
        </w:rPr>
        <w:t>В рамках реализации национального проекта «Здравоохранение» в 2022 году приобретены мебель и оборудование на сумму – 704,3 тысяч рублей, а также рентгеновский аппарат на сумму 10500 тыс. рублей.</w:t>
      </w:r>
    </w:p>
    <w:p w:rsidR="00566980" w:rsidRPr="00CA5FD4" w:rsidRDefault="00566980" w:rsidP="009B4C92">
      <w:pPr>
        <w:spacing w:after="0" w:line="276" w:lineRule="auto"/>
        <w:ind w:firstLine="709"/>
        <w:jc w:val="both"/>
        <w:rPr>
          <w:rFonts w:ascii="Bookman Old Style" w:hAnsi="Bookman Old Style" w:cs="Times New Roman"/>
          <w:sz w:val="28"/>
          <w:szCs w:val="28"/>
        </w:rPr>
      </w:pPr>
    </w:p>
    <w:p w:rsidR="003E10F7" w:rsidRPr="00CA5FD4" w:rsidRDefault="003E10F7"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CA5FD4">
        <w:rPr>
          <w:rFonts w:ascii="Bookman Old Style" w:eastAsia="Times New Roman" w:hAnsi="Bookman Old Style" w:cs="Times New Roman"/>
          <w:b/>
          <w:color w:val="171717" w:themeColor="background2" w:themeShade="1A"/>
          <w:sz w:val="28"/>
          <w:szCs w:val="28"/>
          <w:lang w:eastAsia="ru-RU"/>
        </w:rPr>
        <w:t>Образование</w:t>
      </w:r>
    </w:p>
    <w:p w:rsidR="00F42192" w:rsidRPr="00CA5FD4" w:rsidRDefault="00F42192" w:rsidP="00F421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A5268E" w:rsidRPr="00CA5FD4" w:rsidRDefault="00A5268E" w:rsidP="00A5268E">
      <w:pPr>
        <w:pStyle w:val="a8"/>
        <w:spacing w:line="276" w:lineRule="auto"/>
        <w:ind w:left="0" w:firstLine="720"/>
        <w:jc w:val="both"/>
        <w:rPr>
          <w:rFonts w:ascii="Bookman Old Style" w:hAnsi="Bookman Old Style"/>
          <w:sz w:val="28"/>
          <w:szCs w:val="28"/>
        </w:rPr>
      </w:pPr>
      <w:r w:rsidRPr="00CA5FD4">
        <w:rPr>
          <w:rFonts w:ascii="Bookman Old Style" w:hAnsi="Bookman Old Style"/>
          <w:sz w:val="28"/>
          <w:szCs w:val="28"/>
        </w:rPr>
        <w:t xml:space="preserve">Система образования Кочковского района включает в себя 22 образовательные организации, 12 из них школы (3 основных, 9 средних), 8 дошкольных учреждений, 2 учреждения дополнительного образования. При МКОУ «Троицкая СШ», МКОУ «Республиканская ОШ» и МКОУ </w:t>
      </w:r>
      <w:r w:rsidR="00316134" w:rsidRPr="00CA5FD4">
        <w:rPr>
          <w:rFonts w:ascii="Bookman Old Style" w:hAnsi="Bookman Old Style"/>
          <w:sz w:val="28"/>
          <w:szCs w:val="28"/>
        </w:rPr>
        <w:t>«</w:t>
      </w:r>
      <w:r w:rsidRPr="00CA5FD4">
        <w:rPr>
          <w:rFonts w:ascii="Bookman Old Style" w:hAnsi="Bookman Old Style"/>
          <w:sz w:val="28"/>
          <w:szCs w:val="28"/>
        </w:rPr>
        <w:t>Ермаковская ОШ» действую</w:t>
      </w:r>
      <w:r w:rsidR="00316134" w:rsidRPr="00CA5FD4">
        <w:rPr>
          <w:rFonts w:ascii="Bookman Old Style" w:hAnsi="Bookman Old Style"/>
          <w:sz w:val="28"/>
          <w:szCs w:val="28"/>
        </w:rPr>
        <w:t>т</w:t>
      </w:r>
      <w:r w:rsidRPr="00CA5FD4">
        <w:rPr>
          <w:rFonts w:ascii="Bookman Old Style" w:hAnsi="Bookman Old Style"/>
          <w:sz w:val="28"/>
          <w:szCs w:val="28"/>
        </w:rPr>
        <w:t xml:space="preserve"> дошкольные группы.</w:t>
      </w:r>
    </w:p>
    <w:p w:rsidR="0055525D"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 xml:space="preserve">Численность обучающихся в школах на 15.09.2022 года составила 1408 человек. На 31.12.2022 года – 1398, что на 0,7% меньше, чем на начало учебного года. Численность детей в </w:t>
      </w:r>
      <w:r w:rsidRPr="00CA5FD4">
        <w:rPr>
          <w:rFonts w:ascii="Bookman Old Style" w:hAnsi="Bookman Old Style"/>
          <w:sz w:val="28"/>
          <w:szCs w:val="28"/>
        </w:rPr>
        <w:lastRenderedPageBreak/>
        <w:t xml:space="preserve">детских садах, на 15.06.2022 составила 380 детей, на 01.09.2022 года – 349, что на 8% меньше предыдущего учебного периода. </w:t>
      </w:r>
    </w:p>
    <w:p w:rsidR="0055525D"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 xml:space="preserve">По результатам государственной итоговой аттестации все выпускники 11 классов получили аттестаты. 6 выпускников из 5 школ района получили аттестат особого образца и медаль «За особые успехи в учении». </w:t>
      </w:r>
    </w:p>
    <w:p w:rsidR="0055525D"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 xml:space="preserve">Во всех школах с 1 сентября внедрена церемония поднятия флага и исполнения государственного гимна. Каждый понедельник первый уроком проходят занятия «Разговоры о важном». Они знакомят учеников с общественно-политической жизнью страны, событиями их региона. </w:t>
      </w:r>
    </w:p>
    <w:p w:rsidR="0055525D"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Во всех школах созданы школьные спортивные клубы (ШСК), отряды ЮИД, детские объединения РДШ (Российского движения школьников).</w:t>
      </w:r>
    </w:p>
    <w:p w:rsidR="0055525D"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 xml:space="preserve">Продолжают активно работать три отделения </w:t>
      </w:r>
      <w:proofErr w:type="spellStart"/>
      <w:r w:rsidRPr="00CA5FD4">
        <w:rPr>
          <w:rFonts w:ascii="Bookman Old Style" w:hAnsi="Bookman Old Style"/>
          <w:sz w:val="28"/>
          <w:szCs w:val="28"/>
        </w:rPr>
        <w:t>Юнармии</w:t>
      </w:r>
      <w:proofErr w:type="spellEnd"/>
      <w:r w:rsidRPr="00CA5FD4">
        <w:rPr>
          <w:rFonts w:ascii="Bookman Old Style" w:hAnsi="Bookman Old Style"/>
          <w:sz w:val="28"/>
          <w:szCs w:val="28"/>
        </w:rPr>
        <w:t xml:space="preserve"> (</w:t>
      </w:r>
      <w:proofErr w:type="spellStart"/>
      <w:r w:rsidRPr="00CA5FD4">
        <w:rPr>
          <w:rFonts w:ascii="Bookman Old Style" w:hAnsi="Bookman Old Style"/>
          <w:sz w:val="28"/>
          <w:szCs w:val="28"/>
        </w:rPr>
        <w:t>Новоцелинная</w:t>
      </w:r>
      <w:proofErr w:type="spellEnd"/>
      <w:r w:rsidRPr="00CA5FD4">
        <w:rPr>
          <w:rFonts w:ascii="Bookman Old Style" w:hAnsi="Bookman Old Style"/>
          <w:sz w:val="28"/>
          <w:szCs w:val="28"/>
        </w:rPr>
        <w:t xml:space="preserve">, </w:t>
      </w:r>
      <w:proofErr w:type="spellStart"/>
      <w:r w:rsidRPr="00CA5FD4">
        <w:rPr>
          <w:rFonts w:ascii="Bookman Old Style" w:hAnsi="Bookman Old Style"/>
          <w:sz w:val="28"/>
          <w:szCs w:val="28"/>
        </w:rPr>
        <w:t>Кочковская</w:t>
      </w:r>
      <w:proofErr w:type="spellEnd"/>
      <w:r w:rsidRPr="00CA5FD4">
        <w:rPr>
          <w:rFonts w:ascii="Bookman Old Style" w:hAnsi="Bookman Old Style"/>
          <w:sz w:val="28"/>
          <w:szCs w:val="28"/>
        </w:rPr>
        <w:t xml:space="preserve">, </w:t>
      </w:r>
      <w:proofErr w:type="spellStart"/>
      <w:r w:rsidRPr="00CA5FD4">
        <w:rPr>
          <w:rFonts w:ascii="Bookman Old Style" w:hAnsi="Bookman Old Style"/>
          <w:sz w:val="28"/>
          <w:szCs w:val="28"/>
        </w:rPr>
        <w:t>Крансосибирская</w:t>
      </w:r>
      <w:proofErr w:type="spellEnd"/>
      <w:r w:rsidRPr="00CA5FD4">
        <w:rPr>
          <w:rFonts w:ascii="Bookman Old Style" w:hAnsi="Bookman Old Style"/>
          <w:sz w:val="28"/>
          <w:szCs w:val="28"/>
        </w:rPr>
        <w:t xml:space="preserve"> школы). В 2022 году открыто отделение юнармейцев в </w:t>
      </w:r>
      <w:proofErr w:type="spellStart"/>
      <w:r w:rsidRPr="00CA5FD4">
        <w:rPr>
          <w:rFonts w:ascii="Bookman Old Style" w:hAnsi="Bookman Old Style"/>
          <w:sz w:val="28"/>
          <w:szCs w:val="28"/>
        </w:rPr>
        <w:t>Решетовской</w:t>
      </w:r>
      <w:proofErr w:type="spellEnd"/>
      <w:r w:rsidRPr="00CA5FD4">
        <w:rPr>
          <w:rFonts w:ascii="Bookman Old Style" w:hAnsi="Bookman Old Style"/>
          <w:sz w:val="28"/>
          <w:szCs w:val="28"/>
        </w:rPr>
        <w:t xml:space="preserve"> школе.</w:t>
      </w:r>
    </w:p>
    <w:p w:rsidR="00A5268E" w:rsidRPr="00CA5FD4" w:rsidRDefault="0055525D" w:rsidP="0055525D">
      <w:pPr>
        <w:pStyle w:val="a8"/>
        <w:spacing w:line="276" w:lineRule="auto"/>
        <w:ind w:left="0" w:firstLine="709"/>
        <w:jc w:val="both"/>
        <w:rPr>
          <w:rFonts w:ascii="Bookman Old Style" w:hAnsi="Bookman Old Style"/>
          <w:sz w:val="28"/>
          <w:szCs w:val="28"/>
        </w:rPr>
      </w:pPr>
      <w:r w:rsidRPr="00CA5FD4">
        <w:rPr>
          <w:rFonts w:ascii="Bookman Old Style" w:hAnsi="Bookman Old Style"/>
          <w:sz w:val="28"/>
          <w:szCs w:val="28"/>
        </w:rPr>
        <w:t>Лагери с дневным пребыванием организованы в 12 школах района и на базе КЦСОН. Здесь задействовано 670 детей. ДОЛ «Березовая роща» в течение трех сезонов принял 118 детей из нашего района. В том числе, в первом и втором сезоне за счет средств родителей (компенсация питания) было оздоровлено 18 детей.</w:t>
      </w:r>
    </w:p>
    <w:p w:rsidR="0055525D" w:rsidRPr="00CA5FD4" w:rsidRDefault="0055525D" w:rsidP="0055525D">
      <w:pPr>
        <w:pStyle w:val="a8"/>
        <w:spacing w:line="276" w:lineRule="auto"/>
        <w:ind w:left="0" w:firstLine="709"/>
        <w:jc w:val="both"/>
        <w:rPr>
          <w:rFonts w:ascii="Bookman Old Style" w:hAnsi="Bookman Old Style"/>
          <w:sz w:val="28"/>
          <w:szCs w:val="28"/>
        </w:rPr>
      </w:pPr>
    </w:p>
    <w:p w:rsidR="00492B96" w:rsidRPr="00CA5FD4" w:rsidRDefault="00492B96" w:rsidP="009B4C92">
      <w:pPr>
        <w:numPr>
          <w:ilvl w:val="0"/>
          <w:numId w:val="2"/>
        </w:numPr>
        <w:spacing w:after="0" w:line="276" w:lineRule="auto"/>
        <w:jc w:val="center"/>
        <w:rPr>
          <w:rFonts w:ascii="Bookman Old Style" w:hAnsi="Bookman Old Style" w:cs="Times New Roman"/>
          <w:b/>
          <w:color w:val="171717" w:themeColor="background2" w:themeShade="1A"/>
          <w:sz w:val="28"/>
          <w:szCs w:val="28"/>
        </w:rPr>
      </w:pPr>
      <w:r w:rsidRPr="00CA5FD4">
        <w:rPr>
          <w:rFonts w:ascii="Bookman Old Style" w:hAnsi="Bookman Old Style" w:cs="Times New Roman"/>
          <w:b/>
          <w:color w:val="171717" w:themeColor="background2" w:themeShade="1A"/>
          <w:sz w:val="28"/>
          <w:szCs w:val="28"/>
        </w:rPr>
        <w:t>Культура</w:t>
      </w:r>
    </w:p>
    <w:p w:rsidR="00F42192" w:rsidRPr="00CA5FD4" w:rsidRDefault="00F42192" w:rsidP="00F42192">
      <w:pPr>
        <w:spacing w:after="0" w:line="276" w:lineRule="auto"/>
        <w:ind w:left="1080"/>
        <w:rPr>
          <w:rFonts w:ascii="Bookman Old Style" w:hAnsi="Bookman Old Style" w:cs="Times New Roman"/>
          <w:b/>
          <w:color w:val="171717" w:themeColor="background2" w:themeShade="1A"/>
          <w:sz w:val="28"/>
          <w:szCs w:val="28"/>
        </w:rPr>
      </w:pPr>
    </w:p>
    <w:p w:rsidR="002F58D1" w:rsidRPr="00CA5FD4" w:rsidRDefault="002F58D1" w:rsidP="002F58D1">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На территории района успешно реализуют свою деятельность 13 культурно-досуговых организаций.</w:t>
      </w:r>
    </w:p>
    <w:p w:rsidR="002F58D1" w:rsidRPr="00CA5FD4" w:rsidRDefault="002F58D1" w:rsidP="002F58D1">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На постоянной основе в учреждениях культуры функционируют 145 клубов и объединений по интересам, в </w:t>
      </w:r>
      <w:proofErr w:type="spellStart"/>
      <w:r w:rsidRPr="00CA5FD4">
        <w:rPr>
          <w:rFonts w:ascii="Bookman Old Style" w:hAnsi="Bookman Old Style" w:cs="Times New Roman"/>
          <w:sz w:val="28"/>
          <w:szCs w:val="28"/>
        </w:rPr>
        <w:t>т.ч</w:t>
      </w:r>
      <w:proofErr w:type="spellEnd"/>
      <w:r w:rsidRPr="00CA5FD4">
        <w:rPr>
          <w:rFonts w:ascii="Bookman Old Style" w:hAnsi="Bookman Old Style" w:cs="Times New Roman"/>
          <w:sz w:val="28"/>
          <w:szCs w:val="28"/>
        </w:rPr>
        <w:t xml:space="preserve">. 70 детских, в которых занимаются 1746, в </w:t>
      </w:r>
      <w:proofErr w:type="spellStart"/>
      <w:r w:rsidRPr="00CA5FD4">
        <w:rPr>
          <w:rFonts w:ascii="Bookman Old Style" w:hAnsi="Bookman Old Style" w:cs="Times New Roman"/>
          <w:sz w:val="28"/>
          <w:szCs w:val="28"/>
        </w:rPr>
        <w:t>т.ч</w:t>
      </w:r>
      <w:proofErr w:type="spellEnd"/>
      <w:r w:rsidRPr="00CA5FD4">
        <w:rPr>
          <w:rFonts w:ascii="Bookman Old Style" w:hAnsi="Bookman Old Style" w:cs="Times New Roman"/>
          <w:sz w:val="28"/>
          <w:szCs w:val="28"/>
        </w:rPr>
        <w:t>.  детей 901.</w:t>
      </w:r>
    </w:p>
    <w:p w:rsidR="00A05526" w:rsidRPr="00CA5FD4" w:rsidRDefault="002F58D1" w:rsidP="002F58D1">
      <w:pPr>
        <w:spacing w:after="0" w:line="276" w:lineRule="auto"/>
        <w:ind w:firstLine="709"/>
        <w:jc w:val="both"/>
        <w:rPr>
          <w:rFonts w:ascii="Bookman Old Style" w:hAnsi="Bookman Old Style" w:cs="Times New Roman"/>
          <w:sz w:val="28"/>
          <w:szCs w:val="28"/>
        </w:rPr>
      </w:pPr>
      <w:r w:rsidRPr="00CA5FD4">
        <w:rPr>
          <w:rFonts w:ascii="Bookman Old Style" w:hAnsi="Bookman Old Style" w:cs="Times New Roman"/>
          <w:sz w:val="28"/>
          <w:szCs w:val="28"/>
        </w:rPr>
        <w:t xml:space="preserve">За 2022 год организовано и проведено более 770 социально-значимых культурно-массовых мероприятий, участниками которых стали более 5 тысяч жителей и гостей района. Из числа наиболее ярких культурно-массовых мероприятий можно отметить: 5-й районный фестиваль </w:t>
      </w:r>
      <w:r w:rsidRPr="00CA5FD4">
        <w:rPr>
          <w:rFonts w:ascii="Bookman Old Style" w:hAnsi="Bookman Old Style" w:cs="Times New Roman"/>
          <w:sz w:val="28"/>
          <w:szCs w:val="28"/>
        </w:rPr>
        <w:lastRenderedPageBreak/>
        <w:t xml:space="preserve">исполнителей песен зимней тематики «Метелица», Песня года «Песня года 2022»; Районный краеведческий </w:t>
      </w:r>
      <w:proofErr w:type="spellStart"/>
      <w:r w:rsidRPr="00CA5FD4">
        <w:rPr>
          <w:rFonts w:ascii="Bookman Old Style" w:hAnsi="Bookman Old Style" w:cs="Times New Roman"/>
          <w:sz w:val="28"/>
          <w:szCs w:val="28"/>
        </w:rPr>
        <w:t>квиз</w:t>
      </w:r>
      <w:proofErr w:type="spellEnd"/>
      <w:r w:rsidRPr="00CA5FD4">
        <w:rPr>
          <w:rFonts w:ascii="Bookman Old Style" w:hAnsi="Bookman Old Style" w:cs="Times New Roman"/>
          <w:sz w:val="28"/>
          <w:szCs w:val="28"/>
        </w:rPr>
        <w:t xml:space="preserve"> «Здесь Родины небесный свет»; Общероссийская акция «Библионочь-2022»; 17-й Районный смотр-конкурс юных талантов «Колокольчик» и другие.</w:t>
      </w:r>
    </w:p>
    <w:p w:rsidR="002F58D1" w:rsidRPr="00CA5FD4" w:rsidRDefault="002F58D1" w:rsidP="002F58D1">
      <w:pPr>
        <w:spacing w:after="0" w:line="276" w:lineRule="auto"/>
        <w:ind w:firstLine="709"/>
        <w:jc w:val="both"/>
        <w:rPr>
          <w:rFonts w:ascii="Bookman Old Style" w:hAnsi="Bookman Old Style" w:cs="Times New Roman"/>
          <w:sz w:val="28"/>
          <w:szCs w:val="28"/>
        </w:rPr>
      </w:pPr>
    </w:p>
    <w:p w:rsidR="00E2543E" w:rsidRPr="00CA5FD4" w:rsidRDefault="00E2543E" w:rsidP="009B4C92">
      <w:pPr>
        <w:pStyle w:val="a8"/>
        <w:numPr>
          <w:ilvl w:val="0"/>
          <w:numId w:val="2"/>
        </w:numPr>
        <w:spacing w:line="276" w:lineRule="auto"/>
        <w:ind w:left="0" w:firstLine="709"/>
        <w:jc w:val="center"/>
        <w:rPr>
          <w:rFonts w:ascii="Bookman Old Style" w:hAnsi="Bookman Old Style"/>
          <w:color w:val="171717" w:themeColor="background2" w:themeShade="1A"/>
          <w:sz w:val="28"/>
          <w:szCs w:val="28"/>
        </w:rPr>
      </w:pPr>
      <w:r w:rsidRPr="00CA5FD4">
        <w:rPr>
          <w:rFonts w:ascii="Bookman Old Style" w:hAnsi="Bookman Old Style"/>
          <w:b/>
          <w:color w:val="171717" w:themeColor="background2" w:themeShade="1A"/>
          <w:sz w:val="28"/>
          <w:szCs w:val="28"/>
        </w:rPr>
        <w:t>Физическая культура и спорт</w:t>
      </w:r>
    </w:p>
    <w:p w:rsidR="00F42192" w:rsidRPr="00CA5FD4" w:rsidRDefault="00F42192" w:rsidP="00F42192">
      <w:pPr>
        <w:pStyle w:val="a8"/>
        <w:spacing w:line="276" w:lineRule="auto"/>
        <w:ind w:left="709"/>
        <w:rPr>
          <w:rFonts w:ascii="Bookman Old Style" w:hAnsi="Bookman Old Style"/>
          <w:color w:val="171717" w:themeColor="background2" w:themeShade="1A"/>
          <w:sz w:val="28"/>
          <w:szCs w:val="28"/>
        </w:rPr>
      </w:pPr>
    </w:p>
    <w:p w:rsidR="002F58D1" w:rsidRPr="00CA5FD4" w:rsidRDefault="00D412B7" w:rsidP="002F58D1">
      <w:pPr>
        <w:pStyle w:val="a8"/>
        <w:spacing w:line="276" w:lineRule="auto"/>
        <w:ind w:left="0"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 xml:space="preserve">В рамках муниципальной программы «Развитие физической культуры и спорта в Кочковском районе Новосибирской области» </w:t>
      </w:r>
      <w:r w:rsidR="002F58D1" w:rsidRPr="00CA5FD4">
        <w:rPr>
          <w:rFonts w:ascii="Bookman Old Style" w:hAnsi="Bookman Old Style"/>
          <w:color w:val="171717" w:themeColor="background2" w:themeShade="1A"/>
          <w:sz w:val="28"/>
          <w:szCs w:val="28"/>
        </w:rPr>
        <w:t xml:space="preserve">Организовано и проведено 48 спортивно-массовых мероприятий по продвижению здорового образа жизни, развитию физической культуры и массового спорта, в которых приняло участие 2 139 спортсменов Среди них районные соревнования по футболу на призы клуба «Кожаный мяч», районные соревнования среди учащихся СШ «Президентский тест» и «Осенний кросс» , IХ летняя спартакиада пенсионеров Кочковского района, летний Фестиваль ГТО среди учащихся СШ и учителей, межрайонные турниры по </w:t>
      </w:r>
      <w:proofErr w:type="spellStart"/>
      <w:r w:rsidR="002F58D1" w:rsidRPr="00CA5FD4">
        <w:rPr>
          <w:rFonts w:ascii="Bookman Old Style" w:hAnsi="Bookman Old Style"/>
          <w:color w:val="171717" w:themeColor="background2" w:themeShade="1A"/>
          <w:sz w:val="28"/>
          <w:szCs w:val="28"/>
        </w:rPr>
        <w:t>футзалу</w:t>
      </w:r>
      <w:proofErr w:type="spellEnd"/>
      <w:r w:rsidR="002F58D1" w:rsidRPr="00CA5FD4">
        <w:rPr>
          <w:rFonts w:ascii="Bookman Old Style" w:hAnsi="Bookman Old Style"/>
          <w:color w:val="171717" w:themeColor="background2" w:themeShade="1A"/>
          <w:sz w:val="28"/>
          <w:szCs w:val="28"/>
        </w:rPr>
        <w:t xml:space="preserve"> и хоккею с шайбой, 4 межрайонный </w:t>
      </w:r>
      <w:proofErr w:type="spellStart"/>
      <w:r w:rsidR="002F58D1" w:rsidRPr="00CA5FD4">
        <w:rPr>
          <w:rFonts w:ascii="Bookman Old Style" w:hAnsi="Bookman Old Style"/>
          <w:color w:val="171717" w:themeColor="background2" w:themeShade="1A"/>
          <w:sz w:val="28"/>
          <w:szCs w:val="28"/>
        </w:rPr>
        <w:t>паратурслет</w:t>
      </w:r>
      <w:proofErr w:type="spellEnd"/>
      <w:r w:rsidR="002F58D1" w:rsidRPr="00CA5FD4">
        <w:rPr>
          <w:rFonts w:ascii="Bookman Old Style" w:hAnsi="Bookman Old Style"/>
          <w:color w:val="171717" w:themeColor="background2" w:themeShade="1A"/>
          <w:sz w:val="28"/>
          <w:szCs w:val="28"/>
        </w:rPr>
        <w:t xml:space="preserve">, районный спортивный праздник «День физкультурника», традиционный турнир по футболу «Кубок </w:t>
      </w:r>
      <w:proofErr w:type="spellStart"/>
      <w:r w:rsidR="002F58D1" w:rsidRPr="00CA5FD4">
        <w:rPr>
          <w:rFonts w:ascii="Bookman Old Style" w:hAnsi="Bookman Old Style"/>
          <w:color w:val="171717" w:themeColor="background2" w:themeShade="1A"/>
          <w:sz w:val="28"/>
          <w:szCs w:val="28"/>
        </w:rPr>
        <w:t>В.С.Воронцова</w:t>
      </w:r>
      <w:proofErr w:type="spellEnd"/>
      <w:r w:rsidR="002F58D1" w:rsidRPr="00CA5FD4">
        <w:rPr>
          <w:rFonts w:ascii="Bookman Old Style" w:hAnsi="Bookman Old Style"/>
          <w:color w:val="171717" w:themeColor="background2" w:themeShade="1A"/>
          <w:sz w:val="28"/>
          <w:szCs w:val="28"/>
        </w:rPr>
        <w:t>», межрайонный турнир по шахматам и прочее.</w:t>
      </w:r>
    </w:p>
    <w:p w:rsidR="00B717EE" w:rsidRPr="00CA5FD4" w:rsidRDefault="002F58D1" w:rsidP="002F58D1">
      <w:pPr>
        <w:pStyle w:val="a8"/>
        <w:spacing w:line="276" w:lineRule="auto"/>
        <w:ind w:left="0"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348 спортсменов района приняли участие в 27 зональных и финальных областных спортивно-массовых мероприятиях по мини-футболу, хоккею с шайбой, мини-лапте, мини-футболу, баскетболу 3х3, пауэрлифтингу, легкой атлетике и др.).</w:t>
      </w:r>
    </w:p>
    <w:p w:rsidR="002F58D1" w:rsidRPr="00CA5FD4" w:rsidRDefault="002F58D1" w:rsidP="002F58D1">
      <w:pPr>
        <w:pStyle w:val="a8"/>
        <w:spacing w:line="276" w:lineRule="auto"/>
        <w:ind w:left="0" w:firstLine="709"/>
        <w:jc w:val="both"/>
        <w:rPr>
          <w:rFonts w:ascii="Bookman Old Style" w:hAnsi="Bookman Old Style"/>
          <w:color w:val="171717" w:themeColor="background2" w:themeShade="1A"/>
          <w:sz w:val="28"/>
          <w:szCs w:val="28"/>
        </w:rPr>
      </w:pPr>
    </w:p>
    <w:p w:rsidR="00E2543E" w:rsidRPr="00CA5FD4" w:rsidRDefault="00E2543E" w:rsidP="009B4C92">
      <w:pPr>
        <w:numPr>
          <w:ilvl w:val="0"/>
          <w:numId w:val="2"/>
        </w:numPr>
        <w:spacing w:after="0" w:line="276" w:lineRule="auto"/>
        <w:ind w:left="0" w:firstLine="709"/>
        <w:contextualSpacing/>
        <w:jc w:val="center"/>
        <w:rPr>
          <w:rFonts w:ascii="Bookman Old Style" w:eastAsia="Times New Roman" w:hAnsi="Bookman Old Style" w:cs="Times New Roman"/>
          <w:b/>
          <w:color w:val="171717" w:themeColor="background2" w:themeShade="1A"/>
          <w:sz w:val="28"/>
          <w:szCs w:val="28"/>
          <w:lang w:eastAsia="ru-RU"/>
        </w:rPr>
      </w:pPr>
      <w:r w:rsidRPr="00CA5FD4">
        <w:rPr>
          <w:rFonts w:ascii="Bookman Old Style" w:eastAsia="Times New Roman" w:hAnsi="Bookman Old Style" w:cs="Times New Roman"/>
          <w:b/>
          <w:color w:val="171717" w:themeColor="background2" w:themeShade="1A"/>
          <w:sz w:val="28"/>
          <w:szCs w:val="28"/>
          <w:lang w:eastAsia="ru-RU"/>
        </w:rPr>
        <w:t>Жилищное строительство и обеспечение граждан жильем</w:t>
      </w:r>
    </w:p>
    <w:p w:rsidR="00E2543E" w:rsidRPr="00CA5FD4" w:rsidRDefault="00E2543E" w:rsidP="009B4C92">
      <w:pPr>
        <w:spacing w:after="0" w:line="276" w:lineRule="auto"/>
        <w:ind w:left="709"/>
        <w:contextualSpacing/>
        <w:rPr>
          <w:rFonts w:ascii="Bookman Old Style" w:eastAsia="Times New Roman" w:hAnsi="Bookman Old Style" w:cs="Times New Roman"/>
          <w:b/>
          <w:color w:val="171717" w:themeColor="background2" w:themeShade="1A"/>
          <w:sz w:val="28"/>
          <w:szCs w:val="28"/>
          <w:lang w:eastAsia="ru-RU"/>
        </w:rPr>
      </w:pPr>
    </w:p>
    <w:p w:rsidR="00E2543E" w:rsidRPr="00CA5FD4"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CA5FD4">
        <w:rPr>
          <w:rFonts w:ascii="Bookman Old Style" w:eastAsia="Times New Roman" w:hAnsi="Bookman Old Style" w:cs="Times New Roman"/>
          <w:color w:val="171717" w:themeColor="background2" w:themeShade="1A"/>
          <w:sz w:val="28"/>
          <w:szCs w:val="28"/>
          <w:lang w:eastAsia="ru-RU"/>
        </w:rPr>
        <w:t xml:space="preserve">Жилищный фонд Кочковского района представлен, в основном, одноэтажными индивидуальными домами с приусадебными участками. Лишь в </w:t>
      </w:r>
      <w:r w:rsidR="00EE5711" w:rsidRPr="00CA5FD4">
        <w:rPr>
          <w:rFonts w:ascii="Bookman Old Style" w:eastAsia="Times New Roman" w:hAnsi="Bookman Old Style" w:cs="Times New Roman"/>
          <w:color w:val="171717" w:themeColor="background2" w:themeShade="1A"/>
          <w:sz w:val="28"/>
          <w:szCs w:val="28"/>
          <w:lang w:eastAsia="ru-RU"/>
        </w:rPr>
        <w:t>четы</w:t>
      </w:r>
      <w:r w:rsidRPr="00CA5FD4">
        <w:rPr>
          <w:rFonts w:ascii="Bookman Old Style" w:eastAsia="Times New Roman" w:hAnsi="Bookman Old Style" w:cs="Times New Roman"/>
          <w:color w:val="171717" w:themeColor="background2" w:themeShade="1A"/>
          <w:sz w:val="28"/>
          <w:szCs w:val="28"/>
          <w:lang w:eastAsia="ru-RU"/>
        </w:rPr>
        <w:t>рех поселениях имеются многоквартирные жилы</w:t>
      </w:r>
      <w:r w:rsidR="00D371A7" w:rsidRPr="00CA5FD4">
        <w:rPr>
          <w:rFonts w:ascii="Bookman Old Style" w:eastAsia="Times New Roman" w:hAnsi="Bookman Old Style" w:cs="Times New Roman"/>
          <w:color w:val="171717" w:themeColor="background2" w:themeShade="1A"/>
          <w:sz w:val="28"/>
          <w:szCs w:val="28"/>
          <w:lang w:eastAsia="ru-RU"/>
        </w:rPr>
        <w:t>е дома этажностью более одного.</w:t>
      </w:r>
    </w:p>
    <w:p w:rsidR="003A1559" w:rsidRPr="00CA5FD4" w:rsidRDefault="00E2543E"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CA5FD4">
        <w:rPr>
          <w:rFonts w:ascii="Bookman Old Style" w:eastAsia="Times New Roman" w:hAnsi="Bookman Old Style" w:cs="Times New Roman"/>
          <w:color w:val="171717" w:themeColor="background2" w:themeShade="1A"/>
          <w:sz w:val="28"/>
          <w:szCs w:val="28"/>
          <w:lang w:eastAsia="ru-RU"/>
        </w:rPr>
        <w:lastRenderedPageBreak/>
        <w:t>За 20</w:t>
      </w:r>
      <w:r w:rsidR="00D412B7" w:rsidRPr="00CA5FD4">
        <w:rPr>
          <w:rFonts w:ascii="Bookman Old Style" w:eastAsia="Times New Roman" w:hAnsi="Bookman Old Style" w:cs="Times New Roman"/>
          <w:color w:val="171717" w:themeColor="background2" w:themeShade="1A"/>
          <w:sz w:val="28"/>
          <w:szCs w:val="28"/>
          <w:lang w:eastAsia="ru-RU"/>
        </w:rPr>
        <w:t>2</w:t>
      </w:r>
      <w:r w:rsidR="00326A67" w:rsidRPr="00CA5FD4">
        <w:rPr>
          <w:rFonts w:ascii="Bookman Old Style" w:eastAsia="Times New Roman" w:hAnsi="Bookman Old Style" w:cs="Times New Roman"/>
          <w:color w:val="171717" w:themeColor="background2" w:themeShade="1A"/>
          <w:sz w:val="28"/>
          <w:szCs w:val="28"/>
          <w:lang w:eastAsia="ru-RU"/>
        </w:rPr>
        <w:t>2</w:t>
      </w:r>
      <w:r w:rsidRPr="00CA5FD4">
        <w:rPr>
          <w:rFonts w:ascii="Bookman Old Style" w:eastAsia="Times New Roman" w:hAnsi="Bookman Old Style" w:cs="Times New Roman"/>
          <w:color w:val="171717" w:themeColor="background2" w:themeShade="1A"/>
          <w:sz w:val="28"/>
          <w:szCs w:val="28"/>
          <w:lang w:eastAsia="ru-RU"/>
        </w:rPr>
        <w:t xml:space="preserve"> год в эксплуатацию введено </w:t>
      </w:r>
      <w:r w:rsidR="00326A67" w:rsidRPr="00CA5FD4">
        <w:rPr>
          <w:rFonts w:ascii="Bookman Old Style" w:eastAsia="Times New Roman" w:hAnsi="Bookman Old Style" w:cs="Times New Roman"/>
          <w:color w:val="171717" w:themeColor="background2" w:themeShade="1A"/>
          <w:sz w:val="28"/>
          <w:szCs w:val="28"/>
          <w:lang w:eastAsia="ru-RU"/>
        </w:rPr>
        <w:t>146,5</w:t>
      </w:r>
      <w:r w:rsidRPr="00CA5FD4">
        <w:rPr>
          <w:rFonts w:ascii="Bookman Old Style" w:eastAsia="Times New Roman" w:hAnsi="Bookman Old Style" w:cs="Times New Roman"/>
          <w:color w:val="171717" w:themeColor="background2" w:themeShade="1A"/>
          <w:sz w:val="28"/>
          <w:szCs w:val="28"/>
          <w:lang w:eastAsia="ru-RU"/>
        </w:rPr>
        <w:t xml:space="preserve"> квадратных метр</w:t>
      </w:r>
      <w:r w:rsidR="00326A67" w:rsidRPr="00CA5FD4">
        <w:rPr>
          <w:rFonts w:ascii="Bookman Old Style" w:eastAsia="Times New Roman" w:hAnsi="Bookman Old Style" w:cs="Times New Roman"/>
          <w:color w:val="171717" w:themeColor="background2" w:themeShade="1A"/>
          <w:sz w:val="28"/>
          <w:szCs w:val="28"/>
          <w:lang w:eastAsia="ru-RU"/>
        </w:rPr>
        <w:t>ов</w:t>
      </w:r>
      <w:r w:rsidR="00D371A7" w:rsidRPr="00CA5FD4">
        <w:rPr>
          <w:rFonts w:ascii="Bookman Old Style" w:eastAsia="Times New Roman" w:hAnsi="Bookman Old Style" w:cs="Times New Roman"/>
          <w:color w:val="171717" w:themeColor="background2" w:themeShade="1A"/>
          <w:sz w:val="28"/>
          <w:szCs w:val="28"/>
          <w:lang w:eastAsia="ru-RU"/>
        </w:rPr>
        <w:t xml:space="preserve"> жилья.</w:t>
      </w:r>
    </w:p>
    <w:p w:rsidR="00E2543E" w:rsidRPr="00CA5FD4" w:rsidRDefault="00257AA2" w:rsidP="009B4C92">
      <w:pPr>
        <w:spacing w:after="0" w:line="276" w:lineRule="auto"/>
        <w:ind w:firstLine="709"/>
        <w:jc w:val="both"/>
        <w:rPr>
          <w:rFonts w:ascii="Bookman Old Style" w:eastAsia="Times New Roman" w:hAnsi="Bookman Old Style" w:cs="Times New Roman"/>
          <w:color w:val="171717" w:themeColor="background2" w:themeShade="1A"/>
          <w:sz w:val="28"/>
          <w:szCs w:val="28"/>
          <w:lang w:eastAsia="ru-RU"/>
        </w:rPr>
      </w:pPr>
      <w:r w:rsidRPr="00CA5FD4">
        <w:rPr>
          <w:rFonts w:ascii="Bookman Old Style" w:eastAsia="Times New Roman" w:hAnsi="Bookman Old Style" w:cs="Times New Roman"/>
          <w:color w:val="171717" w:themeColor="background2" w:themeShade="1A"/>
          <w:sz w:val="28"/>
          <w:szCs w:val="28"/>
          <w:lang w:eastAsia="ru-RU"/>
        </w:rPr>
        <w:t>В</w:t>
      </w:r>
      <w:r w:rsidR="00E2543E" w:rsidRPr="00CA5FD4">
        <w:rPr>
          <w:rFonts w:ascii="Bookman Old Style" w:eastAsia="Times New Roman" w:hAnsi="Bookman Old Style" w:cs="Times New Roman"/>
          <w:color w:val="171717" w:themeColor="background2" w:themeShade="1A"/>
          <w:sz w:val="28"/>
          <w:szCs w:val="28"/>
          <w:lang w:eastAsia="ru-RU"/>
        </w:rPr>
        <w:t xml:space="preserve"> рамках различных программ</w:t>
      </w:r>
      <w:r w:rsidR="00E737E1" w:rsidRPr="00CA5FD4">
        <w:rPr>
          <w:rFonts w:ascii="Bookman Old Style" w:eastAsia="Times New Roman" w:hAnsi="Bookman Old Style" w:cs="Times New Roman"/>
          <w:color w:val="171717" w:themeColor="background2" w:themeShade="1A"/>
          <w:sz w:val="28"/>
          <w:szCs w:val="28"/>
          <w:lang w:eastAsia="ru-RU"/>
        </w:rPr>
        <w:t>, направленных на</w:t>
      </w:r>
      <w:r w:rsidR="00E2543E" w:rsidRPr="00CA5FD4">
        <w:rPr>
          <w:rFonts w:ascii="Bookman Old Style" w:eastAsia="Times New Roman" w:hAnsi="Bookman Old Style" w:cs="Times New Roman"/>
          <w:color w:val="171717" w:themeColor="background2" w:themeShade="1A"/>
          <w:sz w:val="28"/>
          <w:szCs w:val="28"/>
          <w:lang w:eastAsia="ru-RU"/>
        </w:rPr>
        <w:t xml:space="preserve"> </w:t>
      </w:r>
      <w:r w:rsidR="00E737E1" w:rsidRPr="00CA5FD4">
        <w:rPr>
          <w:rFonts w:ascii="Bookman Old Style" w:eastAsia="Times New Roman" w:hAnsi="Bookman Old Style" w:cs="Times New Roman"/>
          <w:color w:val="171717" w:themeColor="background2" w:themeShade="1A"/>
          <w:sz w:val="28"/>
          <w:szCs w:val="28"/>
          <w:lang w:eastAsia="ru-RU"/>
        </w:rPr>
        <w:t>улучшение</w:t>
      </w:r>
      <w:r w:rsidRPr="00CA5FD4">
        <w:rPr>
          <w:rFonts w:ascii="Bookman Old Style" w:eastAsia="Times New Roman" w:hAnsi="Bookman Old Style" w:cs="Times New Roman"/>
          <w:color w:val="171717" w:themeColor="background2" w:themeShade="1A"/>
          <w:sz w:val="28"/>
          <w:szCs w:val="28"/>
          <w:lang w:eastAsia="ru-RU"/>
        </w:rPr>
        <w:t xml:space="preserve"> жилищных условий</w:t>
      </w:r>
      <w:r w:rsidR="005666BA" w:rsidRPr="00CA5FD4">
        <w:rPr>
          <w:rFonts w:ascii="Bookman Old Style" w:eastAsia="Times New Roman" w:hAnsi="Bookman Old Style" w:cs="Times New Roman"/>
          <w:color w:val="171717" w:themeColor="background2" w:themeShade="1A"/>
          <w:sz w:val="28"/>
          <w:szCs w:val="28"/>
          <w:lang w:eastAsia="ru-RU"/>
        </w:rPr>
        <w:t xml:space="preserve"> </w:t>
      </w:r>
      <w:r w:rsidR="00326A67" w:rsidRPr="00CA5FD4">
        <w:rPr>
          <w:rFonts w:ascii="Bookman Old Style" w:eastAsia="Times New Roman" w:hAnsi="Bookman Old Style" w:cs="Times New Roman"/>
          <w:color w:val="171717" w:themeColor="background2" w:themeShade="1A"/>
          <w:sz w:val="28"/>
          <w:szCs w:val="28"/>
          <w:lang w:eastAsia="ru-RU"/>
        </w:rPr>
        <w:t>16</w:t>
      </w:r>
      <w:r w:rsidR="00E737E1" w:rsidRPr="00CA5FD4">
        <w:rPr>
          <w:rFonts w:ascii="Bookman Old Style" w:eastAsia="Times New Roman" w:hAnsi="Bookman Old Style" w:cs="Times New Roman"/>
          <w:color w:val="171717" w:themeColor="background2" w:themeShade="1A"/>
          <w:sz w:val="28"/>
          <w:szCs w:val="28"/>
          <w:lang w:eastAsia="ru-RU"/>
        </w:rPr>
        <w:t xml:space="preserve"> человек получили государственную поддержку</w:t>
      </w:r>
      <w:r w:rsidRPr="00CA5FD4">
        <w:rPr>
          <w:rFonts w:ascii="Bookman Old Style" w:eastAsia="Times New Roman" w:hAnsi="Bookman Old Style" w:cs="Times New Roman"/>
          <w:color w:val="171717" w:themeColor="background2" w:themeShade="1A"/>
          <w:sz w:val="28"/>
          <w:szCs w:val="28"/>
          <w:lang w:eastAsia="ru-RU"/>
        </w:rPr>
        <w:t>.</w:t>
      </w:r>
    </w:p>
    <w:p w:rsidR="00E2543E" w:rsidRPr="00CA5FD4" w:rsidRDefault="00E2543E" w:rsidP="009B4C92">
      <w:pPr>
        <w:spacing w:after="0" w:line="276" w:lineRule="auto"/>
        <w:ind w:firstLine="709"/>
        <w:jc w:val="both"/>
        <w:rPr>
          <w:rFonts w:ascii="Times New Roman" w:eastAsia="Times New Roman" w:hAnsi="Times New Roman" w:cs="Times New Roman"/>
          <w:sz w:val="28"/>
          <w:szCs w:val="28"/>
          <w:lang w:eastAsia="ru-RU"/>
        </w:rPr>
      </w:pPr>
    </w:p>
    <w:p w:rsidR="00676B0A" w:rsidRPr="00CA5FD4" w:rsidRDefault="00676B0A"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CA5FD4">
        <w:rPr>
          <w:rFonts w:ascii="Bookman Old Style" w:hAnsi="Bookman Old Style"/>
          <w:b/>
          <w:color w:val="171717" w:themeColor="background2" w:themeShade="1A"/>
          <w:sz w:val="28"/>
          <w:szCs w:val="28"/>
        </w:rPr>
        <w:t>Жилищно-коммунальное хозяйство</w:t>
      </w:r>
    </w:p>
    <w:p w:rsidR="00676B0A" w:rsidRPr="00CA5FD4" w:rsidRDefault="00676B0A" w:rsidP="009B4C92">
      <w:pPr>
        <w:spacing w:after="0" w:line="276" w:lineRule="auto"/>
        <w:ind w:firstLine="709"/>
        <w:jc w:val="both"/>
        <w:rPr>
          <w:rFonts w:ascii="Bookman Old Style" w:hAnsi="Bookman Old Style"/>
          <w:color w:val="171717" w:themeColor="background2" w:themeShade="1A"/>
          <w:sz w:val="28"/>
          <w:szCs w:val="28"/>
        </w:rPr>
      </w:pPr>
    </w:p>
    <w:p w:rsidR="003E495F" w:rsidRPr="00CA5FD4" w:rsidRDefault="003E495F" w:rsidP="003E495F">
      <w:pPr>
        <w:spacing w:after="0" w:line="276" w:lineRule="auto"/>
        <w:ind w:firstLine="709"/>
        <w:jc w:val="both"/>
        <w:rPr>
          <w:rFonts w:ascii="Bookman Old Style" w:hAnsi="Bookman Old Style"/>
          <w:bCs/>
          <w:iCs/>
          <w:color w:val="171717" w:themeColor="background2" w:themeShade="1A"/>
          <w:sz w:val="28"/>
          <w:szCs w:val="28"/>
        </w:rPr>
      </w:pPr>
      <w:r w:rsidRPr="00CA5FD4">
        <w:rPr>
          <w:rFonts w:ascii="Bookman Old Style" w:hAnsi="Bookman Old Style"/>
          <w:bCs/>
          <w:iCs/>
          <w:color w:val="171717" w:themeColor="background2" w:themeShade="1A"/>
          <w:sz w:val="28"/>
          <w:szCs w:val="28"/>
        </w:rPr>
        <w:t xml:space="preserve">На подготовку объектов ЖКХ к отопительному сезону, а также ремонт водопроводных сетей направлено более 52,8 млн. рублей. Заменены 6 отопительных котлов, отремонтировано более 2 км тепловых и водопроводных сетей. </w:t>
      </w:r>
    </w:p>
    <w:p w:rsidR="00E2543E" w:rsidRPr="00CA5FD4" w:rsidRDefault="003E495F" w:rsidP="003E495F">
      <w:pPr>
        <w:spacing w:after="0" w:line="276" w:lineRule="auto"/>
        <w:ind w:firstLine="709"/>
        <w:jc w:val="both"/>
        <w:rPr>
          <w:rFonts w:ascii="Bookman Old Style" w:hAnsi="Bookman Old Style"/>
          <w:bCs/>
          <w:iCs/>
          <w:color w:val="171717" w:themeColor="background2" w:themeShade="1A"/>
          <w:sz w:val="28"/>
          <w:szCs w:val="28"/>
        </w:rPr>
      </w:pPr>
      <w:r w:rsidRPr="00CA5FD4">
        <w:rPr>
          <w:rFonts w:ascii="Bookman Old Style" w:hAnsi="Bookman Old Style"/>
          <w:bCs/>
          <w:iCs/>
          <w:color w:val="171717" w:themeColor="background2" w:themeShade="1A"/>
          <w:sz w:val="28"/>
          <w:szCs w:val="28"/>
        </w:rPr>
        <w:t>Для предупреждения возникновения чрезвычайной ситуации по водоснабжению потребителей села Кочки за счет средств резервного фонда Правительства Новосибирской области пробурена новая скважина по улице Ломоносова на сумму 17,6 млн. рублей. Для ликвидации чрезвычайной ситуации с водоснабжением в с. Черновка введена в эксплуатацию новая скважина.</w:t>
      </w:r>
    </w:p>
    <w:p w:rsidR="003E495F" w:rsidRPr="00CA5FD4" w:rsidRDefault="003E495F" w:rsidP="003E495F">
      <w:pPr>
        <w:spacing w:after="0" w:line="276" w:lineRule="auto"/>
        <w:ind w:firstLine="709"/>
        <w:jc w:val="both"/>
        <w:rPr>
          <w:rFonts w:ascii="Bookman Old Style" w:hAnsi="Bookman Old Style" w:cs="Times New Roman"/>
          <w:bCs/>
          <w:iCs/>
          <w:color w:val="171717" w:themeColor="background2" w:themeShade="1A"/>
          <w:sz w:val="28"/>
          <w:szCs w:val="28"/>
        </w:rPr>
      </w:pPr>
    </w:p>
    <w:p w:rsidR="00522754" w:rsidRPr="00CA5FD4" w:rsidRDefault="00522754" w:rsidP="009B4C92">
      <w:pPr>
        <w:pStyle w:val="a8"/>
        <w:numPr>
          <w:ilvl w:val="0"/>
          <w:numId w:val="2"/>
        </w:numPr>
        <w:spacing w:line="276" w:lineRule="auto"/>
        <w:ind w:left="0" w:firstLine="709"/>
        <w:jc w:val="center"/>
        <w:rPr>
          <w:rFonts w:ascii="Bookman Old Style" w:hAnsi="Bookman Old Style"/>
          <w:b/>
          <w:color w:val="171717" w:themeColor="background2" w:themeShade="1A"/>
          <w:sz w:val="28"/>
          <w:szCs w:val="28"/>
        </w:rPr>
      </w:pPr>
      <w:r w:rsidRPr="00CA5FD4">
        <w:rPr>
          <w:rFonts w:ascii="Bookman Old Style" w:hAnsi="Bookman Old Style"/>
          <w:b/>
          <w:color w:val="171717" w:themeColor="background2" w:themeShade="1A"/>
          <w:sz w:val="28"/>
          <w:szCs w:val="28"/>
        </w:rPr>
        <w:t>Организация муниципального управления</w:t>
      </w:r>
    </w:p>
    <w:p w:rsidR="00522754" w:rsidRPr="00CA5FD4" w:rsidRDefault="00522754" w:rsidP="009B4C92">
      <w:pPr>
        <w:pStyle w:val="a8"/>
        <w:spacing w:line="276" w:lineRule="auto"/>
        <w:ind w:left="709"/>
        <w:rPr>
          <w:rFonts w:ascii="Bookman Old Style" w:hAnsi="Bookman Old Style"/>
          <w:b/>
          <w:color w:val="171717" w:themeColor="background2" w:themeShade="1A"/>
          <w:sz w:val="28"/>
          <w:szCs w:val="28"/>
        </w:rPr>
      </w:pPr>
    </w:p>
    <w:p w:rsidR="00522754" w:rsidRPr="00CA5FD4" w:rsidRDefault="00522754" w:rsidP="009B4C92">
      <w:pPr>
        <w:spacing w:after="0" w:line="276" w:lineRule="auto"/>
        <w:ind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Одним из важнейших направлений деятельности органов местного самоуправления является формирование финансово-экономической политики района.</w:t>
      </w:r>
    </w:p>
    <w:p w:rsidR="00F941B6" w:rsidRPr="00CA5FD4" w:rsidRDefault="00313917" w:rsidP="009B4C92">
      <w:pPr>
        <w:spacing w:after="0" w:line="276" w:lineRule="auto"/>
        <w:ind w:firstLine="709"/>
        <w:jc w:val="both"/>
        <w:rPr>
          <w:rFonts w:ascii="Bookman Old Style" w:hAnsi="Bookman Old Style"/>
          <w:color w:val="171717" w:themeColor="background2" w:themeShade="1A"/>
          <w:sz w:val="28"/>
          <w:szCs w:val="28"/>
        </w:rPr>
      </w:pPr>
      <w:r w:rsidRPr="00CA5FD4">
        <w:rPr>
          <w:rFonts w:ascii="Bookman Old Style" w:hAnsi="Bookman Old Style"/>
          <w:noProof/>
          <w:color w:val="171717" w:themeColor="background2" w:themeShade="1A"/>
          <w:sz w:val="24"/>
          <w:szCs w:val="24"/>
          <w:lang w:eastAsia="ru-RU"/>
        </w:rPr>
        <mc:AlternateContent>
          <mc:Choice Requires="wps">
            <w:drawing>
              <wp:anchor distT="91440" distB="91440" distL="228600" distR="91440" simplePos="0" relativeHeight="251663360" behindDoc="0" locked="0" layoutInCell="0" allowOverlap="1" wp14:anchorId="0F32884F" wp14:editId="20A3F71F">
                <wp:simplePos x="0" y="0"/>
                <wp:positionH relativeFrom="margin">
                  <wp:posOffset>3300565</wp:posOffset>
                </wp:positionH>
                <wp:positionV relativeFrom="margin">
                  <wp:posOffset>3971400</wp:posOffset>
                </wp:positionV>
                <wp:extent cx="2844800" cy="1407160"/>
                <wp:effectExtent l="0" t="0" r="0" b="0"/>
                <wp:wrapSquare wrapText="bothSides"/>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40716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w:t>
                            </w:r>
                            <w:r w:rsidR="005F31FB">
                              <w:rPr>
                                <w:rFonts w:ascii="Bookman Old Style" w:hAnsi="Bookman Old Style"/>
                                <w:i/>
                                <w:color w:val="FFFFFF" w:themeColor="background1"/>
                                <w:sz w:val="28"/>
                                <w:szCs w:val="28"/>
                              </w:rPr>
                              <w:t>2</w:t>
                            </w:r>
                            <w:r w:rsidR="00CC3298">
                              <w:rPr>
                                <w:rFonts w:ascii="Bookman Old Style" w:hAnsi="Bookman Old Style"/>
                                <w:i/>
                                <w:color w:val="FFFFFF" w:themeColor="background1"/>
                                <w:sz w:val="28"/>
                                <w:szCs w:val="28"/>
                              </w:rPr>
                              <w:t>2</w:t>
                            </w:r>
                            <w:r w:rsidRPr="000C43D6">
                              <w:rPr>
                                <w:rFonts w:ascii="Bookman Old Style" w:hAnsi="Bookman Old Style"/>
                                <w:i/>
                                <w:color w:val="FFFFFF" w:themeColor="background1"/>
                                <w:sz w:val="28"/>
                                <w:szCs w:val="28"/>
                              </w:rPr>
                              <w:t xml:space="preserve"> году составил </w:t>
                            </w:r>
                            <w:r w:rsidR="00CC3298">
                              <w:rPr>
                                <w:rFonts w:ascii="Bookman Old Style" w:hAnsi="Bookman Old Style"/>
                                <w:i/>
                                <w:color w:val="FFFFFF" w:themeColor="background1"/>
                                <w:sz w:val="28"/>
                                <w:szCs w:val="28"/>
                              </w:rPr>
                              <w:t>993,9</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32884F" id="Прямоугольник 11" o:spid="_x0000_s1027" style="position:absolute;left:0;text-align:left;margin-left:259.9pt;margin-top:312.7pt;width:224pt;height:110.8pt;z-index:251663360;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" o:allowincell="f" filled="f" stroked="f">
                <v:textbox inset="16.56pt,7.2pt,16.56pt,7.2pt">
                  <w:txbxContent>
                    <w:p w:rsidR="00522754" w:rsidRPr="000C43D6" w:rsidRDefault="00522754" w:rsidP="00522754">
                      <w:pPr>
                        <w:pBdr>
                          <w:top w:val="single" w:sz="4" w:space="5" w:color="2E74B5" w:themeColor="accent5" w:themeShade="BF"/>
                          <w:left w:val="single" w:sz="4" w:space="8" w:color="2E74B5" w:themeColor="accent5" w:themeShade="BF"/>
                          <w:bottom w:val="single" w:sz="4" w:space="5" w:color="2E74B5" w:themeColor="accent5" w:themeShade="BF"/>
                          <w:right w:val="single" w:sz="4" w:space="8" w:color="2E74B5" w:themeColor="accent5" w:themeShade="BF"/>
                        </w:pBdr>
                        <w:shd w:val="clear" w:color="auto" w:fill="5B9BD5" w:themeFill="accent5"/>
                        <w:jc w:val="both"/>
                        <w:rPr>
                          <w:rFonts w:ascii="Bookman Old Style" w:hAnsi="Bookman Old Style"/>
                          <w:i/>
                          <w:iCs/>
                          <w:color w:val="FFFFFF" w:themeColor="background1"/>
                          <w:sz w:val="28"/>
                          <w:szCs w:val="28"/>
                        </w:rPr>
                      </w:pPr>
                      <w:r w:rsidRPr="000C43D6">
                        <w:rPr>
                          <w:rFonts w:ascii="Bookman Old Style" w:hAnsi="Bookman Old Style"/>
                          <w:i/>
                          <w:color w:val="FFFFFF" w:themeColor="background1"/>
                          <w:sz w:val="28"/>
                          <w:szCs w:val="28"/>
                        </w:rPr>
                        <w:t>Доход консолидированного бюджета Кочковского района в 20</w:t>
                      </w:r>
                      <w:r w:rsidR="005F31FB">
                        <w:rPr>
                          <w:rFonts w:ascii="Bookman Old Style" w:hAnsi="Bookman Old Style"/>
                          <w:i/>
                          <w:color w:val="FFFFFF" w:themeColor="background1"/>
                          <w:sz w:val="28"/>
                          <w:szCs w:val="28"/>
                        </w:rPr>
                        <w:t>2</w:t>
                      </w:r>
                      <w:r w:rsidR="00CC3298">
                        <w:rPr>
                          <w:rFonts w:ascii="Bookman Old Style" w:hAnsi="Bookman Old Style"/>
                          <w:i/>
                          <w:color w:val="FFFFFF" w:themeColor="background1"/>
                          <w:sz w:val="28"/>
                          <w:szCs w:val="28"/>
                        </w:rPr>
                        <w:t>2</w:t>
                      </w:r>
                      <w:r w:rsidRPr="000C43D6">
                        <w:rPr>
                          <w:rFonts w:ascii="Bookman Old Style" w:hAnsi="Bookman Old Style"/>
                          <w:i/>
                          <w:color w:val="FFFFFF" w:themeColor="background1"/>
                          <w:sz w:val="28"/>
                          <w:szCs w:val="28"/>
                        </w:rPr>
                        <w:t xml:space="preserve"> году составил </w:t>
                      </w:r>
                      <w:r w:rsidR="00CC3298">
                        <w:rPr>
                          <w:rFonts w:ascii="Bookman Old Style" w:hAnsi="Bookman Old Style"/>
                          <w:i/>
                          <w:color w:val="FFFFFF" w:themeColor="background1"/>
                          <w:sz w:val="28"/>
                          <w:szCs w:val="28"/>
                        </w:rPr>
                        <w:t>993,9</w:t>
                      </w:r>
                      <w:r w:rsidRPr="000C43D6">
                        <w:rPr>
                          <w:rFonts w:ascii="Bookman Old Style" w:hAnsi="Bookman Old Style"/>
                          <w:i/>
                          <w:color w:val="FFFFFF" w:themeColor="background1"/>
                          <w:sz w:val="28"/>
                          <w:szCs w:val="28"/>
                        </w:rPr>
                        <w:t xml:space="preserve"> млн.</w:t>
                      </w:r>
                      <w:r w:rsidR="00EE1B1C">
                        <w:rPr>
                          <w:rFonts w:ascii="Bookman Old Style" w:hAnsi="Bookman Old Style"/>
                          <w:i/>
                          <w:color w:val="FFFFFF" w:themeColor="background1"/>
                          <w:sz w:val="28"/>
                          <w:szCs w:val="28"/>
                        </w:rPr>
                        <w:t xml:space="preserve"> </w:t>
                      </w:r>
                      <w:r w:rsidRPr="000C43D6">
                        <w:rPr>
                          <w:rFonts w:ascii="Bookman Old Style" w:hAnsi="Bookman Old Style"/>
                          <w:i/>
                          <w:color w:val="FFFFFF" w:themeColor="background1"/>
                          <w:sz w:val="28"/>
                          <w:szCs w:val="28"/>
                        </w:rPr>
                        <w:t>рублей</w:t>
                      </w:r>
                    </w:p>
                    <w:p w:rsidR="00522754" w:rsidRDefault="00522754" w:rsidP="00522754">
                      <w:pPr>
                        <w:rPr>
                          <w:i/>
                          <w:iCs/>
                          <w:color w:val="FFFFFF" w:themeColor="background1"/>
                          <w:sz w:val="28"/>
                          <w:szCs w:val="28"/>
                        </w:rPr>
                      </w:pPr>
                    </w:p>
                  </w:txbxContent>
                </v:textbox>
                <w10:wrap type="square" anchorx="margin" anchory="margin"/>
              </v:rect>
            </w:pict>
          </mc:Fallback>
        </mc:AlternateContent>
      </w:r>
      <w:r w:rsidR="00522754" w:rsidRPr="00CA5FD4">
        <w:rPr>
          <w:rFonts w:ascii="Bookman Old Style" w:hAnsi="Bookman Old Style"/>
          <w:color w:val="171717" w:themeColor="background2" w:themeShade="1A"/>
          <w:sz w:val="28"/>
          <w:szCs w:val="28"/>
        </w:rPr>
        <w:t>В состав консолидированного бюджета Кочковского района входят 10 бюджетов муниципальных поселений и бюджет муниципального района.</w:t>
      </w:r>
    </w:p>
    <w:p w:rsidR="00522754" w:rsidRPr="00CA5FD4" w:rsidRDefault="00522754" w:rsidP="009B4C92">
      <w:pPr>
        <w:spacing w:after="0" w:line="276" w:lineRule="auto"/>
        <w:ind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Доход консолидированного бюджета в 20</w:t>
      </w:r>
      <w:r w:rsidR="001F7CB5" w:rsidRPr="00CA5FD4">
        <w:rPr>
          <w:rFonts w:ascii="Bookman Old Style" w:hAnsi="Bookman Old Style"/>
          <w:color w:val="171717" w:themeColor="background2" w:themeShade="1A"/>
          <w:sz w:val="28"/>
          <w:szCs w:val="28"/>
        </w:rPr>
        <w:t>2</w:t>
      </w:r>
      <w:r w:rsidR="00CC3298" w:rsidRPr="00CA5FD4">
        <w:rPr>
          <w:rFonts w:ascii="Bookman Old Style" w:hAnsi="Bookman Old Style"/>
          <w:color w:val="171717" w:themeColor="background2" w:themeShade="1A"/>
          <w:sz w:val="28"/>
          <w:szCs w:val="28"/>
        </w:rPr>
        <w:t>2</w:t>
      </w:r>
      <w:r w:rsidRPr="00CA5FD4">
        <w:rPr>
          <w:rFonts w:ascii="Bookman Old Style" w:hAnsi="Bookman Old Style"/>
          <w:color w:val="171717" w:themeColor="background2" w:themeShade="1A"/>
          <w:sz w:val="28"/>
          <w:szCs w:val="28"/>
        </w:rPr>
        <w:t xml:space="preserve"> году составил </w:t>
      </w:r>
      <w:r w:rsidR="00CC3298" w:rsidRPr="00CA5FD4">
        <w:rPr>
          <w:rFonts w:ascii="Bookman Old Style" w:hAnsi="Bookman Old Style"/>
          <w:color w:val="171717" w:themeColor="background2" w:themeShade="1A"/>
          <w:sz w:val="28"/>
          <w:szCs w:val="28"/>
        </w:rPr>
        <w:t>993,9</w:t>
      </w:r>
      <w:r w:rsidRPr="00CA5FD4">
        <w:rPr>
          <w:rFonts w:ascii="Bookman Old Style" w:hAnsi="Bookman Old Style"/>
          <w:color w:val="171717" w:themeColor="background2" w:themeShade="1A"/>
          <w:sz w:val="28"/>
          <w:szCs w:val="28"/>
        </w:rPr>
        <w:t xml:space="preserve"> млн. рублей, или </w:t>
      </w:r>
      <w:r w:rsidR="00CC3298" w:rsidRPr="00CA5FD4">
        <w:rPr>
          <w:rFonts w:ascii="Bookman Old Style" w:hAnsi="Bookman Old Style"/>
          <w:color w:val="171717" w:themeColor="background2" w:themeShade="1A"/>
          <w:sz w:val="28"/>
          <w:szCs w:val="28"/>
        </w:rPr>
        <w:t>118,1</w:t>
      </w:r>
      <w:r w:rsidRPr="00CA5FD4">
        <w:rPr>
          <w:rFonts w:ascii="Bookman Old Style" w:hAnsi="Bookman Old Style"/>
          <w:color w:val="171717" w:themeColor="background2" w:themeShade="1A"/>
          <w:sz w:val="28"/>
          <w:szCs w:val="28"/>
        </w:rPr>
        <w:t xml:space="preserve"> % к уровню 20</w:t>
      </w:r>
      <w:r w:rsidR="00721782" w:rsidRPr="00CA5FD4">
        <w:rPr>
          <w:rFonts w:ascii="Bookman Old Style" w:hAnsi="Bookman Old Style"/>
          <w:color w:val="171717" w:themeColor="background2" w:themeShade="1A"/>
          <w:sz w:val="28"/>
          <w:szCs w:val="28"/>
        </w:rPr>
        <w:t>2</w:t>
      </w:r>
      <w:r w:rsidR="00CC3298" w:rsidRPr="00CA5FD4">
        <w:rPr>
          <w:rFonts w:ascii="Bookman Old Style" w:hAnsi="Bookman Old Style"/>
          <w:color w:val="171717" w:themeColor="background2" w:themeShade="1A"/>
          <w:sz w:val="28"/>
          <w:szCs w:val="28"/>
        </w:rPr>
        <w:t>1</w:t>
      </w:r>
      <w:r w:rsidRPr="00CA5FD4">
        <w:rPr>
          <w:rFonts w:ascii="Bookman Old Style" w:hAnsi="Bookman Old Style"/>
          <w:color w:val="171717" w:themeColor="background2" w:themeShade="1A"/>
          <w:sz w:val="28"/>
          <w:szCs w:val="28"/>
        </w:rPr>
        <w:t xml:space="preserve"> года. Налоговых и неналоговых доходов в целом по району поступило </w:t>
      </w:r>
      <w:r w:rsidR="00E52701" w:rsidRPr="00CA5FD4">
        <w:rPr>
          <w:rFonts w:ascii="Bookman Old Style" w:hAnsi="Bookman Old Style"/>
          <w:color w:val="171717" w:themeColor="background2" w:themeShade="1A"/>
          <w:sz w:val="28"/>
          <w:szCs w:val="28"/>
        </w:rPr>
        <w:t xml:space="preserve">в размере </w:t>
      </w:r>
      <w:r w:rsidR="001F7CB5" w:rsidRPr="00CA5FD4">
        <w:rPr>
          <w:rFonts w:ascii="Bookman Old Style" w:hAnsi="Bookman Old Style"/>
          <w:color w:val="171717" w:themeColor="background2" w:themeShade="1A"/>
          <w:sz w:val="28"/>
          <w:szCs w:val="28"/>
        </w:rPr>
        <w:t>1</w:t>
      </w:r>
      <w:r w:rsidR="00CC3298" w:rsidRPr="00CA5FD4">
        <w:rPr>
          <w:rFonts w:ascii="Bookman Old Style" w:hAnsi="Bookman Old Style"/>
          <w:color w:val="171717" w:themeColor="background2" w:themeShade="1A"/>
          <w:sz w:val="28"/>
          <w:szCs w:val="28"/>
        </w:rPr>
        <w:t>7</w:t>
      </w:r>
      <w:r w:rsidR="00721782" w:rsidRPr="00CA5FD4">
        <w:rPr>
          <w:rFonts w:ascii="Bookman Old Style" w:hAnsi="Bookman Old Style"/>
          <w:color w:val="171717" w:themeColor="background2" w:themeShade="1A"/>
          <w:sz w:val="28"/>
          <w:szCs w:val="28"/>
        </w:rPr>
        <w:t>7</w:t>
      </w:r>
      <w:r w:rsidR="00CC3298" w:rsidRPr="00CA5FD4">
        <w:rPr>
          <w:rFonts w:ascii="Bookman Old Style" w:hAnsi="Bookman Old Style"/>
          <w:color w:val="171717" w:themeColor="background2" w:themeShade="1A"/>
          <w:sz w:val="28"/>
          <w:szCs w:val="28"/>
        </w:rPr>
        <w:t>,3</w:t>
      </w:r>
      <w:r w:rsidRPr="00CA5FD4">
        <w:rPr>
          <w:rFonts w:ascii="Bookman Old Style" w:hAnsi="Bookman Old Style"/>
          <w:color w:val="171717" w:themeColor="background2" w:themeShade="1A"/>
          <w:sz w:val="28"/>
          <w:szCs w:val="28"/>
        </w:rPr>
        <w:t xml:space="preserve"> млн. рублей.</w:t>
      </w:r>
    </w:p>
    <w:p w:rsidR="00522754" w:rsidRPr="00CA5FD4" w:rsidRDefault="00522754" w:rsidP="009B4C92">
      <w:pPr>
        <w:spacing w:after="0" w:line="276" w:lineRule="auto"/>
        <w:ind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Расходная часть консолидированного бюджета района формир</w:t>
      </w:r>
      <w:r w:rsidR="00436A10" w:rsidRPr="00CA5FD4">
        <w:rPr>
          <w:rFonts w:ascii="Bookman Old Style" w:hAnsi="Bookman Old Style"/>
          <w:color w:val="171717" w:themeColor="background2" w:themeShade="1A"/>
          <w:sz w:val="28"/>
          <w:szCs w:val="28"/>
        </w:rPr>
        <w:t>уется исходя из доходной части,</w:t>
      </w:r>
      <w:r w:rsidRPr="00CA5FD4">
        <w:rPr>
          <w:rFonts w:ascii="Bookman Old Style" w:hAnsi="Bookman Old Style"/>
          <w:color w:val="171717" w:themeColor="background2" w:themeShade="1A"/>
          <w:sz w:val="28"/>
          <w:szCs w:val="28"/>
        </w:rPr>
        <w:t xml:space="preserve"> объемов поступлений из </w:t>
      </w:r>
      <w:r w:rsidRPr="00CA5FD4">
        <w:rPr>
          <w:rFonts w:ascii="Bookman Old Style" w:hAnsi="Bookman Old Style"/>
          <w:color w:val="171717" w:themeColor="background2" w:themeShade="1A"/>
          <w:sz w:val="28"/>
          <w:szCs w:val="28"/>
        </w:rPr>
        <w:lastRenderedPageBreak/>
        <w:t>областного бюджета</w:t>
      </w:r>
      <w:r w:rsidR="00436A10" w:rsidRPr="00CA5FD4">
        <w:rPr>
          <w:rFonts w:ascii="Bookman Old Style" w:hAnsi="Bookman Old Style"/>
          <w:color w:val="171717" w:themeColor="background2" w:themeShade="1A"/>
          <w:sz w:val="28"/>
          <w:szCs w:val="28"/>
        </w:rPr>
        <w:t>, а также из неизрасходованных средств предыдущего финансового года</w:t>
      </w:r>
      <w:r w:rsidRPr="00CA5FD4">
        <w:rPr>
          <w:rFonts w:ascii="Bookman Old Style" w:hAnsi="Bookman Old Style"/>
          <w:color w:val="171717" w:themeColor="background2" w:themeShade="1A"/>
          <w:sz w:val="28"/>
          <w:szCs w:val="28"/>
        </w:rPr>
        <w:t>.</w:t>
      </w:r>
    </w:p>
    <w:p w:rsidR="00522754" w:rsidRPr="00CA5FD4" w:rsidRDefault="00522754" w:rsidP="009B4C92">
      <w:pPr>
        <w:spacing w:after="0" w:line="276" w:lineRule="auto"/>
        <w:ind w:firstLine="709"/>
        <w:jc w:val="both"/>
        <w:rPr>
          <w:rFonts w:ascii="Bookman Old Style" w:hAnsi="Bookman Old Style"/>
          <w:color w:val="171717" w:themeColor="background2" w:themeShade="1A"/>
          <w:sz w:val="28"/>
          <w:szCs w:val="28"/>
        </w:rPr>
      </w:pPr>
      <w:r w:rsidRPr="00CA5FD4">
        <w:rPr>
          <w:rFonts w:ascii="Bookman Old Style" w:hAnsi="Bookman Old Style"/>
          <w:color w:val="171717" w:themeColor="background2" w:themeShade="1A"/>
          <w:sz w:val="28"/>
          <w:szCs w:val="28"/>
        </w:rPr>
        <w:t>Из общей суммы расходной части консолидированного бюджета (</w:t>
      </w:r>
      <w:r w:rsidR="00CC3298" w:rsidRPr="00CA5FD4">
        <w:rPr>
          <w:rFonts w:ascii="Bookman Old Style" w:hAnsi="Bookman Old Style"/>
          <w:color w:val="171717" w:themeColor="background2" w:themeShade="1A"/>
          <w:sz w:val="28"/>
          <w:szCs w:val="28"/>
        </w:rPr>
        <w:t>974,1</w:t>
      </w:r>
      <w:r w:rsidRPr="00CA5FD4">
        <w:rPr>
          <w:rFonts w:ascii="Bookman Old Style" w:hAnsi="Bookman Old Style"/>
          <w:color w:val="171717" w:themeColor="background2" w:themeShade="1A"/>
          <w:sz w:val="28"/>
          <w:szCs w:val="28"/>
        </w:rPr>
        <w:t xml:space="preserve"> млн. рублей) израсходовано на образование </w:t>
      </w:r>
      <w:r w:rsidR="00CC3298" w:rsidRPr="00CA5FD4">
        <w:rPr>
          <w:rFonts w:ascii="Bookman Old Style" w:hAnsi="Bookman Old Style"/>
          <w:color w:val="171717" w:themeColor="background2" w:themeShade="1A"/>
          <w:sz w:val="28"/>
          <w:szCs w:val="28"/>
        </w:rPr>
        <w:t>437,2</w:t>
      </w:r>
      <w:r w:rsidRPr="00CA5FD4">
        <w:rPr>
          <w:rFonts w:ascii="Bookman Old Style" w:hAnsi="Bookman Old Style"/>
          <w:color w:val="171717" w:themeColor="background2" w:themeShade="1A"/>
          <w:sz w:val="28"/>
          <w:szCs w:val="28"/>
        </w:rPr>
        <w:t xml:space="preserve"> млн. рублей, на ЖКХ </w:t>
      </w:r>
      <w:r w:rsidR="00CC3298" w:rsidRPr="00CA5FD4">
        <w:rPr>
          <w:rFonts w:ascii="Bookman Old Style" w:hAnsi="Bookman Old Style"/>
          <w:color w:val="171717" w:themeColor="background2" w:themeShade="1A"/>
          <w:sz w:val="28"/>
          <w:szCs w:val="28"/>
        </w:rPr>
        <w:t>141,5</w:t>
      </w:r>
      <w:r w:rsidRPr="00CA5FD4">
        <w:rPr>
          <w:rFonts w:ascii="Bookman Old Style" w:hAnsi="Bookman Old Style"/>
          <w:color w:val="171717" w:themeColor="background2" w:themeShade="1A"/>
          <w:sz w:val="28"/>
          <w:szCs w:val="28"/>
        </w:rPr>
        <w:t xml:space="preserve"> млн. рублей, </w:t>
      </w:r>
      <w:r w:rsidR="00CC3298" w:rsidRPr="00CA5FD4">
        <w:rPr>
          <w:rFonts w:ascii="Bookman Old Style" w:hAnsi="Bookman Old Style"/>
          <w:color w:val="171717" w:themeColor="background2" w:themeShade="1A"/>
          <w:sz w:val="28"/>
          <w:szCs w:val="28"/>
        </w:rPr>
        <w:t>86,1</w:t>
      </w:r>
      <w:r w:rsidR="000C43D6" w:rsidRPr="00CA5FD4">
        <w:rPr>
          <w:rFonts w:ascii="Bookman Old Style" w:hAnsi="Bookman Old Style"/>
          <w:color w:val="171717" w:themeColor="background2" w:themeShade="1A"/>
          <w:sz w:val="28"/>
          <w:szCs w:val="28"/>
        </w:rPr>
        <w:t xml:space="preserve"> млн. рублей на культуру и пр</w:t>
      </w:r>
      <w:r w:rsidRPr="00CA5FD4">
        <w:rPr>
          <w:rFonts w:ascii="Bookman Old Style" w:hAnsi="Bookman Old Style"/>
          <w:color w:val="171717" w:themeColor="background2" w:themeShade="1A"/>
          <w:sz w:val="28"/>
          <w:szCs w:val="28"/>
        </w:rPr>
        <w:t xml:space="preserve">. </w:t>
      </w:r>
    </w:p>
    <w:p w:rsidR="000C43D6" w:rsidRPr="00CA5FD4"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r w:rsidRPr="00CA5FD4">
        <w:rPr>
          <w:rFonts w:ascii="Bookman Old Style" w:hAnsi="Bookman Old Style"/>
          <w:color w:val="171717" w:themeColor="background2" w:themeShade="1A"/>
          <w:sz w:val="28"/>
          <w:szCs w:val="28"/>
        </w:rPr>
        <w:t xml:space="preserve">Экономическая ситуация отразилась и на наполняемости муниципальных бюджетов. Остались актуальными задержки по платежам в бюджеты всех уровней хозяйствующими субъектами. </w:t>
      </w:r>
      <w:r w:rsidR="00CC3298" w:rsidRPr="00CA5FD4">
        <w:rPr>
          <w:rFonts w:ascii="Bookman Old Style" w:hAnsi="Bookman Old Style"/>
          <w:color w:val="171717" w:themeColor="background2" w:themeShade="1A"/>
          <w:sz w:val="28"/>
          <w:szCs w:val="28"/>
        </w:rPr>
        <w:t>В 2022</w:t>
      </w:r>
      <w:r w:rsidR="00991F0E" w:rsidRPr="00CA5FD4">
        <w:rPr>
          <w:rFonts w:ascii="Bookman Old Style" w:hAnsi="Bookman Old Style"/>
          <w:color w:val="171717" w:themeColor="background2" w:themeShade="1A"/>
          <w:sz w:val="28"/>
          <w:szCs w:val="28"/>
        </w:rPr>
        <w:t xml:space="preserve"> году заседания комиссии не проводились, работа по урегулированию задолженности велась дистанционно.</w:t>
      </w:r>
      <w:r w:rsidRPr="00CA5FD4">
        <w:rPr>
          <w:rFonts w:ascii="Bookman Old Style" w:hAnsi="Bookman Old Style"/>
          <w:color w:val="171717" w:themeColor="background2" w:themeShade="1A"/>
          <w:sz w:val="28"/>
          <w:szCs w:val="28"/>
        </w:rPr>
        <w:t xml:space="preserve"> </w:t>
      </w:r>
      <w:r w:rsidR="00991F0E" w:rsidRPr="00CA5FD4">
        <w:rPr>
          <w:rFonts w:ascii="Bookman Old Style" w:hAnsi="Bookman Old Style"/>
          <w:color w:val="171717" w:themeColor="background2" w:themeShade="1A"/>
          <w:sz w:val="28"/>
          <w:szCs w:val="28"/>
        </w:rPr>
        <w:t xml:space="preserve">В числе должников числились </w:t>
      </w:r>
      <w:r w:rsidR="00A344BE" w:rsidRPr="00CA5FD4">
        <w:rPr>
          <w:rFonts w:ascii="Bookman Old Style" w:hAnsi="Bookman Old Style"/>
          <w:color w:val="171717" w:themeColor="background2" w:themeShade="1A"/>
          <w:sz w:val="28"/>
          <w:szCs w:val="28"/>
        </w:rPr>
        <w:t>15</w:t>
      </w:r>
      <w:r w:rsidR="000C43D6" w:rsidRPr="00CA5FD4">
        <w:rPr>
          <w:rFonts w:ascii="Bookman Old Style" w:hAnsi="Bookman Old Style" w:cs="Times New Roman"/>
          <w:color w:val="171717" w:themeColor="background2" w:themeShade="1A"/>
          <w:sz w:val="28"/>
          <w:szCs w:val="28"/>
        </w:rPr>
        <w:t xml:space="preserve"> налоговы</w:t>
      </w:r>
      <w:r w:rsidR="00F71372" w:rsidRPr="00CA5FD4">
        <w:rPr>
          <w:rFonts w:ascii="Bookman Old Style" w:hAnsi="Bookman Old Style" w:cs="Times New Roman"/>
          <w:color w:val="171717" w:themeColor="background2" w:themeShade="1A"/>
          <w:sz w:val="28"/>
          <w:szCs w:val="28"/>
        </w:rPr>
        <w:t>х</w:t>
      </w:r>
      <w:r w:rsidR="000C43D6" w:rsidRPr="00CA5FD4">
        <w:rPr>
          <w:rFonts w:ascii="Bookman Old Style" w:hAnsi="Bookman Old Style" w:cs="Times New Roman"/>
          <w:color w:val="171717" w:themeColor="background2" w:themeShade="1A"/>
          <w:sz w:val="28"/>
          <w:szCs w:val="28"/>
        </w:rPr>
        <w:t xml:space="preserve"> агент</w:t>
      </w:r>
      <w:r w:rsidR="00A344BE" w:rsidRPr="00CA5FD4">
        <w:rPr>
          <w:rFonts w:ascii="Bookman Old Style" w:hAnsi="Bookman Old Style" w:cs="Times New Roman"/>
          <w:color w:val="171717" w:themeColor="background2" w:themeShade="1A"/>
          <w:sz w:val="28"/>
          <w:szCs w:val="28"/>
        </w:rPr>
        <w:t>ов</w:t>
      </w:r>
      <w:r w:rsidR="00DC303C" w:rsidRPr="00CA5FD4">
        <w:rPr>
          <w:rFonts w:ascii="Bookman Old Style" w:hAnsi="Bookman Old Style" w:cs="Times New Roman"/>
          <w:color w:val="171717" w:themeColor="background2" w:themeShade="1A"/>
          <w:sz w:val="28"/>
          <w:szCs w:val="28"/>
        </w:rPr>
        <w:t xml:space="preserve">, в результате </w:t>
      </w:r>
      <w:r w:rsidR="00991F0E" w:rsidRPr="00CA5FD4">
        <w:rPr>
          <w:rFonts w:ascii="Bookman Old Style" w:hAnsi="Bookman Old Style" w:cs="Times New Roman"/>
          <w:color w:val="171717" w:themeColor="background2" w:themeShade="1A"/>
          <w:sz w:val="28"/>
          <w:szCs w:val="28"/>
        </w:rPr>
        <w:t>работы с которыми погашена</w:t>
      </w:r>
      <w:r w:rsidR="00DC303C" w:rsidRPr="00CA5FD4">
        <w:rPr>
          <w:rFonts w:ascii="Bookman Old Style" w:hAnsi="Bookman Old Style" w:cs="Times New Roman"/>
          <w:color w:val="171717" w:themeColor="background2" w:themeShade="1A"/>
          <w:sz w:val="28"/>
          <w:szCs w:val="28"/>
        </w:rPr>
        <w:t xml:space="preserve"> задолженност</w:t>
      </w:r>
      <w:r w:rsidR="00991F0E" w:rsidRPr="00CA5FD4">
        <w:rPr>
          <w:rFonts w:ascii="Bookman Old Style" w:hAnsi="Bookman Old Style" w:cs="Times New Roman"/>
          <w:color w:val="171717" w:themeColor="background2" w:themeShade="1A"/>
          <w:sz w:val="28"/>
          <w:szCs w:val="28"/>
        </w:rPr>
        <w:t>ь в размере</w:t>
      </w:r>
      <w:r w:rsidR="00DC303C" w:rsidRPr="00CA5FD4">
        <w:rPr>
          <w:rFonts w:ascii="Bookman Old Style" w:hAnsi="Bookman Old Style" w:cs="Times New Roman"/>
          <w:color w:val="171717" w:themeColor="background2" w:themeShade="1A"/>
          <w:sz w:val="28"/>
          <w:szCs w:val="28"/>
        </w:rPr>
        <w:t xml:space="preserve"> </w:t>
      </w:r>
      <w:r w:rsidR="00A344BE" w:rsidRPr="00CA5FD4">
        <w:rPr>
          <w:rFonts w:ascii="Bookman Old Style" w:hAnsi="Bookman Old Style" w:cs="Times New Roman"/>
          <w:color w:val="171717" w:themeColor="background2" w:themeShade="1A"/>
          <w:sz w:val="28"/>
          <w:szCs w:val="28"/>
        </w:rPr>
        <w:t>6,3</w:t>
      </w:r>
      <w:r w:rsidR="00DC303C" w:rsidRPr="00CA5FD4">
        <w:rPr>
          <w:rFonts w:ascii="Bookman Old Style" w:hAnsi="Bookman Old Style" w:cs="Times New Roman"/>
          <w:color w:val="171717" w:themeColor="background2" w:themeShade="1A"/>
          <w:sz w:val="28"/>
          <w:szCs w:val="28"/>
        </w:rPr>
        <w:t xml:space="preserve"> тыс. рублей.</w:t>
      </w:r>
    </w:p>
    <w:p w:rsidR="00522754" w:rsidRPr="00CA5FD4" w:rsidRDefault="00522754" w:rsidP="009B4C92">
      <w:pPr>
        <w:spacing w:after="0" w:line="276" w:lineRule="auto"/>
        <w:ind w:firstLine="709"/>
        <w:jc w:val="both"/>
        <w:rPr>
          <w:rFonts w:ascii="Bookman Old Style" w:hAnsi="Bookman Old Style" w:cs="Times New Roman"/>
          <w:color w:val="171717" w:themeColor="background2" w:themeShade="1A"/>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619"/>
      </w:tblGrid>
      <w:tr w:rsidR="00136B4E" w:rsidRPr="00136B4E" w:rsidTr="00991F0E">
        <w:tc>
          <w:tcPr>
            <w:tcW w:w="4735" w:type="dxa"/>
            <w:hideMark/>
          </w:tcPr>
          <w:p w:rsidR="00136B4E" w:rsidRPr="00CA5FD4" w:rsidRDefault="00136B4E" w:rsidP="009B4C92">
            <w:pPr>
              <w:spacing w:line="276" w:lineRule="auto"/>
              <w:rPr>
                <w:rFonts w:ascii="Bookman Old Style" w:hAnsi="Bookman Old Style" w:cs="Times New Roman"/>
                <w:color w:val="171717" w:themeColor="background2" w:themeShade="1A"/>
                <w:sz w:val="28"/>
                <w:szCs w:val="28"/>
              </w:rPr>
            </w:pPr>
            <w:r w:rsidRPr="00CA5FD4">
              <w:rPr>
                <w:rFonts w:ascii="Bookman Old Style" w:hAnsi="Bookman Old Style" w:cs="Times New Roman"/>
                <w:color w:val="171717" w:themeColor="background2" w:themeShade="1A"/>
                <w:sz w:val="28"/>
                <w:szCs w:val="28"/>
              </w:rPr>
              <w:t>Глава Кочковского района Новосибирской области</w:t>
            </w:r>
          </w:p>
        </w:tc>
        <w:tc>
          <w:tcPr>
            <w:tcW w:w="4619" w:type="dxa"/>
          </w:tcPr>
          <w:p w:rsidR="00136B4E" w:rsidRPr="00CA5FD4" w:rsidRDefault="00136B4E" w:rsidP="009B4C92">
            <w:pPr>
              <w:spacing w:line="276" w:lineRule="auto"/>
              <w:jc w:val="right"/>
              <w:rPr>
                <w:rFonts w:ascii="Bookman Old Style" w:hAnsi="Bookman Old Style" w:cs="Times New Roman"/>
                <w:color w:val="171717" w:themeColor="background2" w:themeShade="1A"/>
                <w:sz w:val="28"/>
                <w:szCs w:val="28"/>
              </w:rPr>
            </w:pPr>
          </w:p>
          <w:p w:rsidR="00136B4E" w:rsidRPr="00136B4E" w:rsidRDefault="00136B4E" w:rsidP="009B4C92">
            <w:pPr>
              <w:spacing w:line="276" w:lineRule="auto"/>
              <w:jc w:val="right"/>
              <w:rPr>
                <w:rFonts w:ascii="Bookman Old Style" w:hAnsi="Bookman Old Style" w:cs="Times New Roman"/>
                <w:color w:val="171717" w:themeColor="background2" w:themeShade="1A"/>
                <w:sz w:val="28"/>
                <w:szCs w:val="28"/>
              </w:rPr>
            </w:pPr>
            <w:r w:rsidRPr="00CA5FD4">
              <w:rPr>
                <w:rFonts w:ascii="Bookman Old Style" w:hAnsi="Bookman Old Style" w:cs="Times New Roman"/>
                <w:color w:val="171717" w:themeColor="background2" w:themeShade="1A"/>
                <w:sz w:val="28"/>
                <w:szCs w:val="28"/>
              </w:rPr>
              <w:t>П.А.</w:t>
            </w:r>
            <w:r w:rsidR="00A10762" w:rsidRPr="00CA5FD4">
              <w:rPr>
                <w:rFonts w:ascii="Bookman Old Style" w:hAnsi="Bookman Old Style" w:cs="Times New Roman"/>
                <w:color w:val="171717" w:themeColor="background2" w:themeShade="1A"/>
                <w:sz w:val="28"/>
                <w:szCs w:val="28"/>
              </w:rPr>
              <w:t xml:space="preserve"> </w:t>
            </w:r>
            <w:r w:rsidRPr="00CA5FD4">
              <w:rPr>
                <w:rFonts w:ascii="Bookman Old Style" w:hAnsi="Bookman Old Style" w:cs="Times New Roman"/>
                <w:color w:val="171717" w:themeColor="background2" w:themeShade="1A"/>
                <w:sz w:val="28"/>
                <w:szCs w:val="28"/>
              </w:rPr>
              <w:t>Шилин</w:t>
            </w:r>
          </w:p>
        </w:tc>
      </w:tr>
    </w:tbl>
    <w:p w:rsidR="000C43D6" w:rsidRPr="00522754" w:rsidRDefault="000C43D6" w:rsidP="00991F0E">
      <w:pPr>
        <w:spacing w:after="0" w:line="276" w:lineRule="auto"/>
        <w:jc w:val="both"/>
        <w:rPr>
          <w:rFonts w:ascii="Bookman Old Style" w:hAnsi="Bookman Old Style" w:cs="Times New Roman"/>
          <w:color w:val="171717" w:themeColor="background2" w:themeShade="1A"/>
          <w:sz w:val="28"/>
          <w:szCs w:val="28"/>
        </w:rPr>
      </w:pPr>
    </w:p>
    <w:sectPr w:rsidR="000C43D6" w:rsidRPr="00522754" w:rsidSect="00E57B43">
      <w:headerReference w:type="default"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49" w:rsidRDefault="00C03849" w:rsidP="00831140">
      <w:pPr>
        <w:spacing w:after="0" w:line="240" w:lineRule="auto"/>
      </w:pPr>
      <w:r>
        <w:separator/>
      </w:r>
    </w:p>
  </w:endnote>
  <w:endnote w:type="continuationSeparator" w:id="0">
    <w:p w:rsidR="00C03849" w:rsidRDefault="00C03849" w:rsidP="008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58833"/>
      <w:docPartObj>
        <w:docPartGallery w:val="Page Numbers (Bottom of Page)"/>
        <w:docPartUnique/>
      </w:docPartObj>
    </w:sdtPr>
    <w:sdtEndPr/>
    <w:sdtContent>
      <w:p w:rsidR="00E57B43" w:rsidRDefault="00E57B43">
        <w:pPr>
          <w:pStyle w:val="a5"/>
          <w:jc w:val="right"/>
        </w:pPr>
        <w:r>
          <w:fldChar w:fldCharType="begin"/>
        </w:r>
        <w:r>
          <w:instrText>PAGE   \* MERGEFORMAT</w:instrText>
        </w:r>
        <w:r>
          <w:fldChar w:fldCharType="separate"/>
        </w:r>
        <w:r w:rsidR="00327AA2">
          <w:rPr>
            <w:noProof/>
          </w:rPr>
          <w:t>2</w:t>
        </w:r>
        <w:r>
          <w:fldChar w:fldCharType="end"/>
        </w:r>
      </w:p>
    </w:sdtContent>
  </w:sdt>
  <w:p w:rsidR="00E57B43" w:rsidRDefault="00E57B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49" w:rsidRDefault="00C03849" w:rsidP="00831140">
      <w:pPr>
        <w:spacing w:after="0" w:line="240" w:lineRule="auto"/>
      </w:pPr>
      <w:r>
        <w:separator/>
      </w:r>
    </w:p>
  </w:footnote>
  <w:footnote w:type="continuationSeparator" w:id="0">
    <w:p w:rsidR="00C03849" w:rsidRDefault="00C03849" w:rsidP="00831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40" w:rsidRDefault="00831140" w:rsidP="00831140">
    <w:pPr>
      <w:pStyle w:val="a3"/>
      <w:jc w:val="right"/>
    </w:pPr>
    <w:r>
      <w:rPr>
        <w:noProof/>
        <w:lang w:eastAsia="ru-RU"/>
      </w:rPr>
      <w:drawing>
        <wp:inline distT="0" distB="0" distL="0" distR="0" wp14:anchorId="2A2D0EFB" wp14:editId="1DA47CC4">
          <wp:extent cx="312774" cy="374238"/>
          <wp:effectExtent l="19050" t="0" r="11430" b="1593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вгений Юрьевич\Desktop\Gerb[2].jpg"/>
                  <pic:cNvPicPr>
                    <a:picLocks noChangeAspect="1" noChangeArrowheads="1"/>
                  </pic:cNvPicPr>
                </pic:nvPicPr>
                <pic:blipFill>
                  <a:blip r:embed="rId1"/>
                  <a:srcRect/>
                  <a:stretch>
                    <a:fillRect/>
                  </a:stretch>
                </pic:blipFill>
                <pic:spPr bwMode="auto">
                  <a:xfrm>
                    <a:off x="0" y="0"/>
                    <a:ext cx="312536" cy="3739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F45"/>
    <w:multiLevelType w:val="hybridMultilevel"/>
    <w:tmpl w:val="B932675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443D0"/>
    <w:multiLevelType w:val="hybridMultilevel"/>
    <w:tmpl w:val="CF98AC6A"/>
    <w:lvl w:ilvl="0" w:tplc="ECF63C12">
      <w:start w:val="1"/>
      <w:numFmt w:val="upperRoman"/>
      <w:lvlText w:val="%1."/>
      <w:lvlJc w:val="left"/>
      <w:pPr>
        <w:ind w:left="1080" w:hanging="720"/>
      </w:pPr>
      <w:rPr>
        <w:b/>
        <w:color w:val="222A35" w:themeColor="text2" w:themeShade="8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2F5E78"/>
    <w:multiLevelType w:val="hybridMultilevel"/>
    <w:tmpl w:val="BE485CAA"/>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0A"/>
    <w:rsid w:val="00002240"/>
    <w:rsid w:val="00006A57"/>
    <w:rsid w:val="00011D73"/>
    <w:rsid w:val="00020A63"/>
    <w:rsid w:val="00024A4D"/>
    <w:rsid w:val="00041665"/>
    <w:rsid w:val="000522CC"/>
    <w:rsid w:val="00075492"/>
    <w:rsid w:val="0009493E"/>
    <w:rsid w:val="00095DA7"/>
    <w:rsid w:val="000A769A"/>
    <w:rsid w:val="000C43D6"/>
    <w:rsid w:val="000D1D5A"/>
    <w:rsid w:val="000E0563"/>
    <w:rsid w:val="000E3EEB"/>
    <w:rsid w:val="000F756D"/>
    <w:rsid w:val="00115B12"/>
    <w:rsid w:val="00116BDF"/>
    <w:rsid w:val="00134F95"/>
    <w:rsid w:val="00136B4E"/>
    <w:rsid w:val="00153B4F"/>
    <w:rsid w:val="001548D6"/>
    <w:rsid w:val="00156104"/>
    <w:rsid w:val="001611CE"/>
    <w:rsid w:val="0016382A"/>
    <w:rsid w:val="001A6EBB"/>
    <w:rsid w:val="001B54FD"/>
    <w:rsid w:val="001C08A1"/>
    <w:rsid w:val="001C1D0A"/>
    <w:rsid w:val="001C28A6"/>
    <w:rsid w:val="001C351F"/>
    <w:rsid w:val="001C575A"/>
    <w:rsid w:val="001D311B"/>
    <w:rsid w:val="001F21AD"/>
    <w:rsid w:val="001F3474"/>
    <w:rsid w:val="001F7CB5"/>
    <w:rsid w:val="002055F2"/>
    <w:rsid w:val="00205B34"/>
    <w:rsid w:val="00214BE6"/>
    <w:rsid w:val="00233DF6"/>
    <w:rsid w:val="0023724B"/>
    <w:rsid w:val="00243ADD"/>
    <w:rsid w:val="00251337"/>
    <w:rsid w:val="002526E1"/>
    <w:rsid w:val="00252851"/>
    <w:rsid w:val="00252E78"/>
    <w:rsid w:val="00257AA2"/>
    <w:rsid w:val="00262EA3"/>
    <w:rsid w:val="00277F07"/>
    <w:rsid w:val="0028029A"/>
    <w:rsid w:val="002946B4"/>
    <w:rsid w:val="0029734F"/>
    <w:rsid w:val="002A2715"/>
    <w:rsid w:val="002A6D29"/>
    <w:rsid w:val="002B255F"/>
    <w:rsid w:val="002C2155"/>
    <w:rsid w:val="002C5556"/>
    <w:rsid w:val="002E554E"/>
    <w:rsid w:val="002F58D1"/>
    <w:rsid w:val="00313917"/>
    <w:rsid w:val="00316134"/>
    <w:rsid w:val="00326A67"/>
    <w:rsid w:val="00327AA2"/>
    <w:rsid w:val="003332C9"/>
    <w:rsid w:val="0034641A"/>
    <w:rsid w:val="0035022A"/>
    <w:rsid w:val="00352A22"/>
    <w:rsid w:val="00354AD3"/>
    <w:rsid w:val="00362DD1"/>
    <w:rsid w:val="0036661A"/>
    <w:rsid w:val="00376707"/>
    <w:rsid w:val="00381FA0"/>
    <w:rsid w:val="003A09A3"/>
    <w:rsid w:val="003A1559"/>
    <w:rsid w:val="003A2203"/>
    <w:rsid w:val="003A7026"/>
    <w:rsid w:val="003A7E4B"/>
    <w:rsid w:val="003B0112"/>
    <w:rsid w:val="003B1257"/>
    <w:rsid w:val="003C084F"/>
    <w:rsid w:val="003C1E4C"/>
    <w:rsid w:val="003E10F7"/>
    <w:rsid w:val="003E495F"/>
    <w:rsid w:val="003F1540"/>
    <w:rsid w:val="003F2139"/>
    <w:rsid w:val="00400AAD"/>
    <w:rsid w:val="00417E23"/>
    <w:rsid w:val="00436A10"/>
    <w:rsid w:val="004377CA"/>
    <w:rsid w:val="00442E9A"/>
    <w:rsid w:val="00445E58"/>
    <w:rsid w:val="0045512B"/>
    <w:rsid w:val="00457D95"/>
    <w:rsid w:val="00470174"/>
    <w:rsid w:val="00480A53"/>
    <w:rsid w:val="00482F47"/>
    <w:rsid w:val="00492B96"/>
    <w:rsid w:val="00495768"/>
    <w:rsid w:val="004D550E"/>
    <w:rsid w:val="004F4E6E"/>
    <w:rsid w:val="00522754"/>
    <w:rsid w:val="00522E45"/>
    <w:rsid w:val="00522F85"/>
    <w:rsid w:val="00540242"/>
    <w:rsid w:val="005524D3"/>
    <w:rsid w:val="00554C3F"/>
    <w:rsid w:val="0055525D"/>
    <w:rsid w:val="0055541B"/>
    <w:rsid w:val="005666BA"/>
    <w:rsid w:val="00566980"/>
    <w:rsid w:val="00566E0C"/>
    <w:rsid w:val="00581E14"/>
    <w:rsid w:val="005825EB"/>
    <w:rsid w:val="005839E5"/>
    <w:rsid w:val="0059082C"/>
    <w:rsid w:val="0059313B"/>
    <w:rsid w:val="005A3689"/>
    <w:rsid w:val="005C11D6"/>
    <w:rsid w:val="005E1CFE"/>
    <w:rsid w:val="005E42FB"/>
    <w:rsid w:val="005E4FF5"/>
    <w:rsid w:val="005F0768"/>
    <w:rsid w:val="005F1045"/>
    <w:rsid w:val="005F31FB"/>
    <w:rsid w:val="005F5C2B"/>
    <w:rsid w:val="005F6A61"/>
    <w:rsid w:val="005F7010"/>
    <w:rsid w:val="00601E70"/>
    <w:rsid w:val="00603273"/>
    <w:rsid w:val="00632670"/>
    <w:rsid w:val="006401D8"/>
    <w:rsid w:val="0065300C"/>
    <w:rsid w:val="006613E0"/>
    <w:rsid w:val="00666255"/>
    <w:rsid w:val="00675BF0"/>
    <w:rsid w:val="00676B0A"/>
    <w:rsid w:val="00685940"/>
    <w:rsid w:val="00696F55"/>
    <w:rsid w:val="006A19B2"/>
    <w:rsid w:val="006A440F"/>
    <w:rsid w:val="006C7046"/>
    <w:rsid w:val="006C7139"/>
    <w:rsid w:val="006D239B"/>
    <w:rsid w:val="006D43BD"/>
    <w:rsid w:val="006D60AC"/>
    <w:rsid w:val="006D6C46"/>
    <w:rsid w:val="006E2F77"/>
    <w:rsid w:val="007002C5"/>
    <w:rsid w:val="00714B3E"/>
    <w:rsid w:val="00716FBE"/>
    <w:rsid w:val="00720CF4"/>
    <w:rsid w:val="00721782"/>
    <w:rsid w:val="00734AB5"/>
    <w:rsid w:val="00734B85"/>
    <w:rsid w:val="00736111"/>
    <w:rsid w:val="00736765"/>
    <w:rsid w:val="0074039D"/>
    <w:rsid w:val="00746F9B"/>
    <w:rsid w:val="0075294B"/>
    <w:rsid w:val="00773F6D"/>
    <w:rsid w:val="00786CC8"/>
    <w:rsid w:val="0079215F"/>
    <w:rsid w:val="00792634"/>
    <w:rsid w:val="00793ED9"/>
    <w:rsid w:val="007A4BFE"/>
    <w:rsid w:val="007A4C7A"/>
    <w:rsid w:val="007A50F0"/>
    <w:rsid w:val="007C1FCF"/>
    <w:rsid w:val="007D41D7"/>
    <w:rsid w:val="007F2373"/>
    <w:rsid w:val="008057C4"/>
    <w:rsid w:val="00814E64"/>
    <w:rsid w:val="00822522"/>
    <w:rsid w:val="00831140"/>
    <w:rsid w:val="00843E9F"/>
    <w:rsid w:val="008545D9"/>
    <w:rsid w:val="00855E2B"/>
    <w:rsid w:val="0085606C"/>
    <w:rsid w:val="0086013D"/>
    <w:rsid w:val="008968AA"/>
    <w:rsid w:val="008A05B7"/>
    <w:rsid w:val="008B2169"/>
    <w:rsid w:val="008B3F2C"/>
    <w:rsid w:val="008B45F2"/>
    <w:rsid w:val="008B7E0F"/>
    <w:rsid w:val="008C3B0A"/>
    <w:rsid w:val="008D22C3"/>
    <w:rsid w:val="008D5825"/>
    <w:rsid w:val="008E701B"/>
    <w:rsid w:val="008F1F91"/>
    <w:rsid w:val="008F7F2F"/>
    <w:rsid w:val="00911066"/>
    <w:rsid w:val="00912C08"/>
    <w:rsid w:val="00916E23"/>
    <w:rsid w:val="009242E7"/>
    <w:rsid w:val="00926F6A"/>
    <w:rsid w:val="00937153"/>
    <w:rsid w:val="0097153E"/>
    <w:rsid w:val="00991F0E"/>
    <w:rsid w:val="00997F9D"/>
    <w:rsid w:val="009A20CB"/>
    <w:rsid w:val="009A21DA"/>
    <w:rsid w:val="009B0D20"/>
    <w:rsid w:val="009B2AE2"/>
    <w:rsid w:val="009B3A88"/>
    <w:rsid w:val="009B4C92"/>
    <w:rsid w:val="009B6A47"/>
    <w:rsid w:val="009C5907"/>
    <w:rsid w:val="009E3038"/>
    <w:rsid w:val="009E48D8"/>
    <w:rsid w:val="009E5ED3"/>
    <w:rsid w:val="009F32A6"/>
    <w:rsid w:val="009F405C"/>
    <w:rsid w:val="009F56CE"/>
    <w:rsid w:val="009F6E54"/>
    <w:rsid w:val="009F7311"/>
    <w:rsid w:val="00A05526"/>
    <w:rsid w:val="00A10762"/>
    <w:rsid w:val="00A11E05"/>
    <w:rsid w:val="00A23B37"/>
    <w:rsid w:val="00A31CE5"/>
    <w:rsid w:val="00A31D83"/>
    <w:rsid w:val="00A33E2E"/>
    <w:rsid w:val="00A344BE"/>
    <w:rsid w:val="00A362D9"/>
    <w:rsid w:val="00A46F96"/>
    <w:rsid w:val="00A5268E"/>
    <w:rsid w:val="00A550E8"/>
    <w:rsid w:val="00A55918"/>
    <w:rsid w:val="00A60019"/>
    <w:rsid w:val="00A70B67"/>
    <w:rsid w:val="00A72A7E"/>
    <w:rsid w:val="00A805E9"/>
    <w:rsid w:val="00A859D6"/>
    <w:rsid w:val="00A87234"/>
    <w:rsid w:val="00A93043"/>
    <w:rsid w:val="00AB31ED"/>
    <w:rsid w:val="00AC242B"/>
    <w:rsid w:val="00AC4CC5"/>
    <w:rsid w:val="00AC74A2"/>
    <w:rsid w:val="00AD2CC2"/>
    <w:rsid w:val="00AE3116"/>
    <w:rsid w:val="00AE5E41"/>
    <w:rsid w:val="00AF1606"/>
    <w:rsid w:val="00AF5DDF"/>
    <w:rsid w:val="00B11180"/>
    <w:rsid w:val="00B20575"/>
    <w:rsid w:val="00B2351E"/>
    <w:rsid w:val="00B24CB4"/>
    <w:rsid w:val="00B24E81"/>
    <w:rsid w:val="00B34CB3"/>
    <w:rsid w:val="00B40E7D"/>
    <w:rsid w:val="00B55525"/>
    <w:rsid w:val="00B562ED"/>
    <w:rsid w:val="00B66A96"/>
    <w:rsid w:val="00B717EE"/>
    <w:rsid w:val="00B82686"/>
    <w:rsid w:val="00B941C8"/>
    <w:rsid w:val="00B9760C"/>
    <w:rsid w:val="00BA1D71"/>
    <w:rsid w:val="00BE06B9"/>
    <w:rsid w:val="00BF3473"/>
    <w:rsid w:val="00C03849"/>
    <w:rsid w:val="00C079C7"/>
    <w:rsid w:val="00C07B9D"/>
    <w:rsid w:val="00C523ED"/>
    <w:rsid w:val="00C55B33"/>
    <w:rsid w:val="00C563F9"/>
    <w:rsid w:val="00C571BD"/>
    <w:rsid w:val="00C64135"/>
    <w:rsid w:val="00C828E9"/>
    <w:rsid w:val="00C845A5"/>
    <w:rsid w:val="00CA27F1"/>
    <w:rsid w:val="00CA41C9"/>
    <w:rsid w:val="00CA5FD4"/>
    <w:rsid w:val="00CA766D"/>
    <w:rsid w:val="00CB1F33"/>
    <w:rsid w:val="00CB7413"/>
    <w:rsid w:val="00CC3298"/>
    <w:rsid w:val="00CC6C40"/>
    <w:rsid w:val="00CC772F"/>
    <w:rsid w:val="00CD4D3F"/>
    <w:rsid w:val="00CD77F3"/>
    <w:rsid w:val="00CE4555"/>
    <w:rsid w:val="00CE7815"/>
    <w:rsid w:val="00CF36FA"/>
    <w:rsid w:val="00CF4D08"/>
    <w:rsid w:val="00CF6229"/>
    <w:rsid w:val="00CF65F8"/>
    <w:rsid w:val="00D10CB1"/>
    <w:rsid w:val="00D371A7"/>
    <w:rsid w:val="00D412B7"/>
    <w:rsid w:val="00D63ABD"/>
    <w:rsid w:val="00D67CE6"/>
    <w:rsid w:val="00D70FC2"/>
    <w:rsid w:val="00D74BBB"/>
    <w:rsid w:val="00D81673"/>
    <w:rsid w:val="00D840C7"/>
    <w:rsid w:val="00D9438B"/>
    <w:rsid w:val="00D975F4"/>
    <w:rsid w:val="00DA6200"/>
    <w:rsid w:val="00DA770A"/>
    <w:rsid w:val="00DA7BB6"/>
    <w:rsid w:val="00DB79F1"/>
    <w:rsid w:val="00DC303C"/>
    <w:rsid w:val="00DD7F48"/>
    <w:rsid w:val="00DF2910"/>
    <w:rsid w:val="00DF3973"/>
    <w:rsid w:val="00E15D32"/>
    <w:rsid w:val="00E2543E"/>
    <w:rsid w:val="00E32C0A"/>
    <w:rsid w:val="00E406C7"/>
    <w:rsid w:val="00E46489"/>
    <w:rsid w:val="00E52701"/>
    <w:rsid w:val="00E56B03"/>
    <w:rsid w:val="00E57B43"/>
    <w:rsid w:val="00E662D8"/>
    <w:rsid w:val="00E7143E"/>
    <w:rsid w:val="00E737E1"/>
    <w:rsid w:val="00E73857"/>
    <w:rsid w:val="00E821EA"/>
    <w:rsid w:val="00EA59A3"/>
    <w:rsid w:val="00EB0536"/>
    <w:rsid w:val="00EB73A7"/>
    <w:rsid w:val="00EC5B9B"/>
    <w:rsid w:val="00ED169D"/>
    <w:rsid w:val="00ED2C1C"/>
    <w:rsid w:val="00EE1B1C"/>
    <w:rsid w:val="00EE5711"/>
    <w:rsid w:val="00EE779C"/>
    <w:rsid w:val="00EF251C"/>
    <w:rsid w:val="00EF39B0"/>
    <w:rsid w:val="00EF5538"/>
    <w:rsid w:val="00EF7A02"/>
    <w:rsid w:val="00F010CD"/>
    <w:rsid w:val="00F02432"/>
    <w:rsid w:val="00F13155"/>
    <w:rsid w:val="00F21B16"/>
    <w:rsid w:val="00F235FC"/>
    <w:rsid w:val="00F3092E"/>
    <w:rsid w:val="00F42192"/>
    <w:rsid w:val="00F573B3"/>
    <w:rsid w:val="00F6679D"/>
    <w:rsid w:val="00F71372"/>
    <w:rsid w:val="00F71990"/>
    <w:rsid w:val="00F73643"/>
    <w:rsid w:val="00F8186D"/>
    <w:rsid w:val="00F941B6"/>
    <w:rsid w:val="00FB67D8"/>
    <w:rsid w:val="00FC00F0"/>
    <w:rsid w:val="00FC0C01"/>
    <w:rsid w:val="00FC12FB"/>
    <w:rsid w:val="00FC22CD"/>
    <w:rsid w:val="00FD242D"/>
    <w:rsid w:val="00FE7EB6"/>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1140"/>
  </w:style>
  <w:style w:type="paragraph" w:styleId="a5">
    <w:name w:val="footer"/>
    <w:basedOn w:val="a"/>
    <w:link w:val="a6"/>
    <w:uiPriority w:val="99"/>
    <w:unhideWhenUsed/>
    <w:rsid w:val="00831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1140"/>
  </w:style>
  <w:style w:type="table" w:styleId="a7">
    <w:name w:val="Table Grid"/>
    <w:basedOn w:val="a1"/>
    <w:uiPriority w:val="59"/>
    <w:rsid w:val="00831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2543E"/>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A0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0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1140"/>
  </w:style>
  <w:style w:type="paragraph" w:styleId="a5">
    <w:name w:val="footer"/>
    <w:basedOn w:val="a"/>
    <w:link w:val="a6"/>
    <w:uiPriority w:val="99"/>
    <w:unhideWhenUsed/>
    <w:rsid w:val="00831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1140"/>
  </w:style>
  <w:style w:type="table" w:styleId="a7">
    <w:name w:val="Table Grid"/>
    <w:basedOn w:val="a1"/>
    <w:uiPriority w:val="59"/>
    <w:rsid w:val="00831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2543E"/>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A0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0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5382">
      <w:bodyDiv w:val="1"/>
      <w:marLeft w:val="0"/>
      <w:marRight w:val="0"/>
      <w:marTop w:val="0"/>
      <w:marBottom w:val="0"/>
      <w:divBdr>
        <w:top w:val="none" w:sz="0" w:space="0" w:color="auto"/>
        <w:left w:val="none" w:sz="0" w:space="0" w:color="auto"/>
        <w:bottom w:val="none" w:sz="0" w:space="0" w:color="auto"/>
        <w:right w:val="none" w:sz="0" w:space="0" w:color="auto"/>
      </w:divBdr>
    </w:div>
    <w:div w:id="251013621">
      <w:bodyDiv w:val="1"/>
      <w:marLeft w:val="0"/>
      <w:marRight w:val="0"/>
      <w:marTop w:val="0"/>
      <w:marBottom w:val="0"/>
      <w:divBdr>
        <w:top w:val="none" w:sz="0" w:space="0" w:color="auto"/>
        <w:left w:val="none" w:sz="0" w:space="0" w:color="auto"/>
        <w:bottom w:val="none" w:sz="0" w:space="0" w:color="auto"/>
        <w:right w:val="none" w:sz="0" w:space="0" w:color="auto"/>
      </w:divBdr>
    </w:div>
    <w:div w:id="306129125">
      <w:bodyDiv w:val="1"/>
      <w:marLeft w:val="0"/>
      <w:marRight w:val="0"/>
      <w:marTop w:val="0"/>
      <w:marBottom w:val="0"/>
      <w:divBdr>
        <w:top w:val="none" w:sz="0" w:space="0" w:color="auto"/>
        <w:left w:val="none" w:sz="0" w:space="0" w:color="auto"/>
        <w:bottom w:val="none" w:sz="0" w:space="0" w:color="auto"/>
        <w:right w:val="none" w:sz="0" w:space="0" w:color="auto"/>
      </w:divBdr>
    </w:div>
    <w:div w:id="307635270">
      <w:bodyDiv w:val="1"/>
      <w:marLeft w:val="0"/>
      <w:marRight w:val="0"/>
      <w:marTop w:val="0"/>
      <w:marBottom w:val="0"/>
      <w:divBdr>
        <w:top w:val="none" w:sz="0" w:space="0" w:color="auto"/>
        <w:left w:val="none" w:sz="0" w:space="0" w:color="auto"/>
        <w:bottom w:val="none" w:sz="0" w:space="0" w:color="auto"/>
        <w:right w:val="none" w:sz="0" w:space="0" w:color="auto"/>
      </w:divBdr>
    </w:div>
    <w:div w:id="368840319">
      <w:bodyDiv w:val="1"/>
      <w:marLeft w:val="0"/>
      <w:marRight w:val="0"/>
      <w:marTop w:val="0"/>
      <w:marBottom w:val="0"/>
      <w:divBdr>
        <w:top w:val="none" w:sz="0" w:space="0" w:color="auto"/>
        <w:left w:val="none" w:sz="0" w:space="0" w:color="auto"/>
        <w:bottom w:val="none" w:sz="0" w:space="0" w:color="auto"/>
        <w:right w:val="none" w:sz="0" w:space="0" w:color="auto"/>
      </w:divBdr>
    </w:div>
    <w:div w:id="381098943">
      <w:bodyDiv w:val="1"/>
      <w:marLeft w:val="0"/>
      <w:marRight w:val="0"/>
      <w:marTop w:val="0"/>
      <w:marBottom w:val="0"/>
      <w:divBdr>
        <w:top w:val="none" w:sz="0" w:space="0" w:color="auto"/>
        <w:left w:val="none" w:sz="0" w:space="0" w:color="auto"/>
        <w:bottom w:val="none" w:sz="0" w:space="0" w:color="auto"/>
        <w:right w:val="none" w:sz="0" w:space="0" w:color="auto"/>
      </w:divBdr>
    </w:div>
    <w:div w:id="415443752">
      <w:bodyDiv w:val="1"/>
      <w:marLeft w:val="0"/>
      <w:marRight w:val="0"/>
      <w:marTop w:val="0"/>
      <w:marBottom w:val="0"/>
      <w:divBdr>
        <w:top w:val="none" w:sz="0" w:space="0" w:color="auto"/>
        <w:left w:val="none" w:sz="0" w:space="0" w:color="auto"/>
        <w:bottom w:val="none" w:sz="0" w:space="0" w:color="auto"/>
        <w:right w:val="none" w:sz="0" w:space="0" w:color="auto"/>
      </w:divBdr>
    </w:div>
    <w:div w:id="440339570">
      <w:bodyDiv w:val="1"/>
      <w:marLeft w:val="0"/>
      <w:marRight w:val="0"/>
      <w:marTop w:val="0"/>
      <w:marBottom w:val="0"/>
      <w:divBdr>
        <w:top w:val="none" w:sz="0" w:space="0" w:color="auto"/>
        <w:left w:val="none" w:sz="0" w:space="0" w:color="auto"/>
        <w:bottom w:val="none" w:sz="0" w:space="0" w:color="auto"/>
        <w:right w:val="none" w:sz="0" w:space="0" w:color="auto"/>
      </w:divBdr>
    </w:div>
    <w:div w:id="444006402">
      <w:bodyDiv w:val="1"/>
      <w:marLeft w:val="0"/>
      <w:marRight w:val="0"/>
      <w:marTop w:val="0"/>
      <w:marBottom w:val="0"/>
      <w:divBdr>
        <w:top w:val="none" w:sz="0" w:space="0" w:color="auto"/>
        <w:left w:val="none" w:sz="0" w:space="0" w:color="auto"/>
        <w:bottom w:val="none" w:sz="0" w:space="0" w:color="auto"/>
        <w:right w:val="none" w:sz="0" w:space="0" w:color="auto"/>
      </w:divBdr>
    </w:div>
    <w:div w:id="575629681">
      <w:bodyDiv w:val="1"/>
      <w:marLeft w:val="0"/>
      <w:marRight w:val="0"/>
      <w:marTop w:val="0"/>
      <w:marBottom w:val="0"/>
      <w:divBdr>
        <w:top w:val="none" w:sz="0" w:space="0" w:color="auto"/>
        <w:left w:val="none" w:sz="0" w:space="0" w:color="auto"/>
        <w:bottom w:val="none" w:sz="0" w:space="0" w:color="auto"/>
        <w:right w:val="none" w:sz="0" w:space="0" w:color="auto"/>
      </w:divBdr>
    </w:div>
    <w:div w:id="597712620">
      <w:bodyDiv w:val="1"/>
      <w:marLeft w:val="0"/>
      <w:marRight w:val="0"/>
      <w:marTop w:val="0"/>
      <w:marBottom w:val="0"/>
      <w:divBdr>
        <w:top w:val="none" w:sz="0" w:space="0" w:color="auto"/>
        <w:left w:val="none" w:sz="0" w:space="0" w:color="auto"/>
        <w:bottom w:val="none" w:sz="0" w:space="0" w:color="auto"/>
        <w:right w:val="none" w:sz="0" w:space="0" w:color="auto"/>
      </w:divBdr>
    </w:div>
    <w:div w:id="600841083">
      <w:bodyDiv w:val="1"/>
      <w:marLeft w:val="0"/>
      <w:marRight w:val="0"/>
      <w:marTop w:val="0"/>
      <w:marBottom w:val="0"/>
      <w:divBdr>
        <w:top w:val="none" w:sz="0" w:space="0" w:color="auto"/>
        <w:left w:val="none" w:sz="0" w:space="0" w:color="auto"/>
        <w:bottom w:val="none" w:sz="0" w:space="0" w:color="auto"/>
        <w:right w:val="none" w:sz="0" w:space="0" w:color="auto"/>
      </w:divBdr>
    </w:div>
    <w:div w:id="618997568">
      <w:bodyDiv w:val="1"/>
      <w:marLeft w:val="0"/>
      <w:marRight w:val="0"/>
      <w:marTop w:val="0"/>
      <w:marBottom w:val="0"/>
      <w:divBdr>
        <w:top w:val="none" w:sz="0" w:space="0" w:color="auto"/>
        <w:left w:val="none" w:sz="0" w:space="0" w:color="auto"/>
        <w:bottom w:val="none" w:sz="0" w:space="0" w:color="auto"/>
        <w:right w:val="none" w:sz="0" w:space="0" w:color="auto"/>
      </w:divBdr>
    </w:div>
    <w:div w:id="654261853">
      <w:bodyDiv w:val="1"/>
      <w:marLeft w:val="0"/>
      <w:marRight w:val="0"/>
      <w:marTop w:val="0"/>
      <w:marBottom w:val="0"/>
      <w:divBdr>
        <w:top w:val="none" w:sz="0" w:space="0" w:color="auto"/>
        <w:left w:val="none" w:sz="0" w:space="0" w:color="auto"/>
        <w:bottom w:val="none" w:sz="0" w:space="0" w:color="auto"/>
        <w:right w:val="none" w:sz="0" w:space="0" w:color="auto"/>
      </w:divBdr>
    </w:div>
    <w:div w:id="703025258">
      <w:bodyDiv w:val="1"/>
      <w:marLeft w:val="0"/>
      <w:marRight w:val="0"/>
      <w:marTop w:val="0"/>
      <w:marBottom w:val="0"/>
      <w:divBdr>
        <w:top w:val="none" w:sz="0" w:space="0" w:color="auto"/>
        <w:left w:val="none" w:sz="0" w:space="0" w:color="auto"/>
        <w:bottom w:val="none" w:sz="0" w:space="0" w:color="auto"/>
        <w:right w:val="none" w:sz="0" w:space="0" w:color="auto"/>
      </w:divBdr>
    </w:div>
    <w:div w:id="929313766">
      <w:bodyDiv w:val="1"/>
      <w:marLeft w:val="0"/>
      <w:marRight w:val="0"/>
      <w:marTop w:val="0"/>
      <w:marBottom w:val="0"/>
      <w:divBdr>
        <w:top w:val="none" w:sz="0" w:space="0" w:color="auto"/>
        <w:left w:val="none" w:sz="0" w:space="0" w:color="auto"/>
        <w:bottom w:val="none" w:sz="0" w:space="0" w:color="auto"/>
        <w:right w:val="none" w:sz="0" w:space="0" w:color="auto"/>
      </w:divBdr>
    </w:div>
    <w:div w:id="983698464">
      <w:bodyDiv w:val="1"/>
      <w:marLeft w:val="0"/>
      <w:marRight w:val="0"/>
      <w:marTop w:val="0"/>
      <w:marBottom w:val="0"/>
      <w:divBdr>
        <w:top w:val="none" w:sz="0" w:space="0" w:color="auto"/>
        <w:left w:val="none" w:sz="0" w:space="0" w:color="auto"/>
        <w:bottom w:val="none" w:sz="0" w:space="0" w:color="auto"/>
        <w:right w:val="none" w:sz="0" w:space="0" w:color="auto"/>
      </w:divBdr>
    </w:div>
    <w:div w:id="1076197836">
      <w:bodyDiv w:val="1"/>
      <w:marLeft w:val="0"/>
      <w:marRight w:val="0"/>
      <w:marTop w:val="0"/>
      <w:marBottom w:val="0"/>
      <w:divBdr>
        <w:top w:val="none" w:sz="0" w:space="0" w:color="auto"/>
        <w:left w:val="none" w:sz="0" w:space="0" w:color="auto"/>
        <w:bottom w:val="none" w:sz="0" w:space="0" w:color="auto"/>
        <w:right w:val="none" w:sz="0" w:space="0" w:color="auto"/>
      </w:divBdr>
    </w:div>
    <w:div w:id="1090929326">
      <w:bodyDiv w:val="1"/>
      <w:marLeft w:val="0"/>
      <w:marRight w:val="0"/>
      <w:marTop w:val="0"/>
      <w:marBottom w:val="0"/>
      <w:divBdr>
        <w:top w:val="none" w:sz="0" w:space="0" w:color="auto"/>
        <w:left w:val="none" w:sz="0" w:space="0" w:color="auto"/>
        <w:bottom w:val="none" w:sz="0" w:space="0" w:color="auto"/>
        <w:right w:val="none" w:sz="0" w:space="0" w:color="auto"/>
      </w:divBdr>
    </w:div>
    <w:div w:id="1158502285">
      <w:bodyDiv w:val="1"/>
      <w:marLeft w:val="0"/>
      <w:marRight w:val="0"/>
      <w:marTop w:val="0"/>
      <w:marBottom w:val="0"/>
      <w:divBdr>
        <w:top w:val="none" w:sz="0" w:space="0" w:color="auto"/>
        <w:left w:val="none" w:sz="0" w:space="0" w:color="auto"/>
        <w:bottom w:val="none" w:sz="0" w:space="0" w:color="auto"/>
        <w:right w:val="none" w:sz="0" w:space="0" w:color="auto"/>
      </w:divBdr>
    </w:div>
    <w:div w:id="1202131622">
      <w:bodyDiv w:val="1"/>
      <w:marLeft w:val="0"/>
      <w:marRight w:val="0"/>
      <w:marTop w:val="0"/>
      <w:marBottom w:val="0"/>
      <w:divBdr>
        <w:top w:val="none" w:sz="0" w:space="0" w:color="auto"/>
        <w:left w:val="none" w:sz="0" w:space="0" w:color="auto"/>
        <w:bottom w:val="none" w:sz="0" w:space="0" w:color="auto"/>
        <w:right w:val="none" w:sz="0" w:space="0" w:color="auto"/>
      </w:divBdr>
    </w:div>
    <w:div w:id="1212840821">
      <w:bodyDiv w:val="1"/>
      <w:marLeft w:val="0"/>
      <w:marRight w:val="0"/>
      <w:marTop w:val="0"/>
      <w:marBottom w:val="0"/>
      <w:divBdr>
        <w:top w:val="none" w:sz="0" w:space="0" w:color="auto"/>
        <w:left w:val="none" w:sz="0" w:space="0" w:color="auto"/>
        <w:bottom w:val="none" w:sz="0" w:space="0" w:color="auto"/>
        <w:right w:val="none" w:sz="0" w:space="0" w:color="auto"/>
      </w:divBdr>
    </w:div>
    <w:div w:id="1460680531">
      <w:bodyDiv w:val="1"/>
      <w:marLeft w:val="0"/>
      <w:marRight w:val="0"/>
      <w:marTop w:val="0"/>
      <w:marBottom w:val="0"/>
      <w:divBdr>
        <w:top w:val="none" w:sz="0" w:space="0" w:color="auto"/>
        <w:left w:val="none" w:sz="0" w:space="0" w:color="auto"/>
        <w:bottom w:val="none" w:sz="0" w:space="0" w:color="auto"/>
        <w:right w:val="none" w:sz="0" w:space="0" w:color="auto"/>
      </w:divBdr>
    </w:div>
    <w:div w:id="1479611420">
      <w:bodyDiv w:val="1"/>
      <w:marLeft w:val="0"/>
      <w:marRight w:val="0"/>
      <w:marTop w:val="0"/>
      <w:marBottom w:val="0"/>
      <w:divBdr>
        <w:top w:val="none" w:sz="0" w:space="0" w:color="auto"/>
        <w:left w:val="none" w:sz="0" w:space="0" w:color="auto"/>
        <w:bottom w:val="none" w:sz="0" w:space="0" w:color="auto"/>
        <w:right w:val="none" w:sz="0" w:space="0" w:color="auto"/>
      </w:divBdr>
    </w:div>
    <w:div w:id="1524900995">
      <w:bodyDiv w:val="1"/>
      <w:marLeft w:val="0"/>
      <w:marRight w:val="0"/>
      <w:marTop w:val="0"/>
      <w:marBottom w:val="0"/>
      <w:divBdr>
        <w:top w:val="none" w:sz="0" w:space="0" w:color="auto"/>
        <w:left w:val="none" w:sz="0" w:space="0" w:color="auto"/>
        <w:bottom w:val="none" w:sz="0" w:space="0" w:color="auto"/>
        <w:right w:val="none" w:sz="0" w:space="0" w:color="auto"/>
      </w:divBdr>
    </w:div>
    <w:div w:id="1610158042">
      <w:bodyDiv w:val="1"/>
      <w:marLeft w:val="0"/>
      <w:marRight w:val="0"/>
      <w:marTop w:val="0"/>
      <w:marBottom w:val="0"/>
      <w:divBdr>
        <w:top w:val="none" w:sz="0" w:space="0" w:color="auto"/>
        <w:left w:val="none" w:sz="0" w:space="0" w:color="auto"/>
        <w:bottom w:val="none" w:sz="0" w:space="0" w:color="auto"/>
        <w:right w:val="none" w:sz="0" w:space="0" w:color="auto"/>
      </w:divBdr>
    </w:div>
    <w:div w:id="1675455429">
      <w:bodyDiv w:val="1"/>
      <w:marLeft w:val="0"/>
      <w:marRight w:val="0"/>
      <w:marTop w:val="0"/>
      <w:marBottom w:val="0"/>
      <w:divBdr>
        <w:top w:val="none" w:sz="0" w:space="0" w:color="auto"/>
        <w:left w:val="none" w:sz="0" w:space="0" w:color="auto"/>
        <w:bottom w:val="none" w:sz="0" w:space="0" w:color="auto"/>
        <w:right w:val="none" w:sz="0" w:space="0" w:color="auto"/>
      </w:divBdr>
    </w:div>
    <w:div w:id="1762527638">
      <w:bodyDiv w:val="1"/>
      <w:marLeft w:val="0"/>
      <w:marRight w:val="0"/>
      <w:marTop w:val="0"/>
      <w:marBottom w:val="0"/>
      <w:divBdr>
        <w:top w:val="none" w:sz="0" w:space="0" w:color="auto"/>
        <w:left w:val="none" w:sz="0" w:space="0" w:color="auto"/>
        <w:bottom w:val="none" w:sz="0" w:space="0" w:color="auto"/>
        <w:right w:val="none" w:sz="0" w:space="0" w:color="auto"/>
      </w:divBdr>
    </w:div>
    <w:div w:id="1773623699">
      <w:bodyDiv w:val="1"/>
      <w:marLeft w:val="0"/>
      <w:marRight w:val="0"/>
      <w:marTop w:val="0"/>
      <w:marBottom w:val="0"/>
      <w:divBdr>
        <w:top w:val="none" w:sz="0" w:space="0" w:color="auto"/>
        <w:left w:val="none" w:sz="0" w:space="0" w:color="auto"/>
        <w:bottom w:val="none" w:sz="0" w:space="0" w:color="auto"/>
        <w:right w:val="none" w:sz="0" w:space="0" w:color="auto"/>
      </w:divBdr>
    </w:div>
    <w:div w:id="1800688486">
      <w:bodyDiv w:val="1"/>
      <w:marLeft w:val="0"/>
      <w:marRight w:val="0"/>
      <w:marTop w:val="0"/>
      <w:marBottom w:val="0"/>
      <w:divBdr>
        <w:top w:val="none" w:sz="0" w:space="0" w:color="auto"/>
        <w:left w:val="none" w:sz="0" w:space="0" w:color="auto"/>
        <w:bottom w:val="none" w:sz="0" w:space="0" w:color="auto"/>
        <w:right w:val="none" w:sz="0" w:space="0" w:color="auto"/>
      </w:divBdr>
    </w:div>
    <w:div w:id="1817262918">
      <w:bodyDiv w:val="1"/>
      <w:marLeft w:val="0"/>
      <w:marRight w:val="0"/>
      <w:marTop w:val="0"/>
      <w:marBottom w:val="0"/>
      <w:divBdr>
        <w:top w:val="none" w:sz="0" w:space="0" w:color="auto"/>
        <w:left w:val="none" w:sz="0" w:space="0" w:color="auto"/>
        <w:bottom w:val="none" w:sz="0" w:space="0" w:color="auto"/>
        <w:right w:val="none" w:sz="0" w:space="0" w:color="auto"/>
      </w:divBdr>
    </w:div>
    <w:div w:id="1822035983">
      <w:bodyDiv w:val="1"/>
      <w:marLeft w:val="0"/>
      <w:marRight w:val="0"/>
      <w:marTop w:val="0"/>
      <w:marBottom w:val="0"/>
      <w:divBdr>
        <w:top w:val="none" w:sz="0" w:space="0" w:color="auto"/>
        <w:left w:val="none" w:sz="0" w:space="0" w:color="auto"/>
        <w:bottom w:val="none" w:sz="0" w:space="0" w:color="auto"/>
        <w:right w:val="none" w:sz="0" w:space="0" w:color="auto"/>
      </w:divBdr>
    </w:div>
    <w:div w:id="1886092952">
      <w:bodyDiv w:val="1"/>
      <w:marLeft w:val="0"/>
      <w:marRight w:val="0"/>
      <w:marTop w:val="0"/>
      <w:marBottom w:val="0"/>
      <w:divBdr>
        <w:top w:val="none" w:sz="0" w:space="0" w:color="auto"/>
        <w:left w:val="none" w:sz="0" w:space="0" w:color="auto"/>
        <w:bottom w:val="none" w:sz="0" w:space="0" w:color="auto"/>
        <w:right w:val="none" w:sz="0" w:space="0" w:color="auto"/>
      </w:divBdr>
    </w:div>
    <w:div w:id="2023631156">
      <w:bodyDiv w:val="1"/>
      <w:marLeft w:val="0"/>
      <w:marRight w:val="0"/>
      <w:marTop w:val="0"/>
      <w:marBottom w:val="0"/>
      <w:divBdr>
        <w:top w:val="none" w:sz="0" w:space="0" w:color="auto"/>
        <w:left w:val="none" w:sz="0" w:space="0" w:color="auto"/>
        <w:bottom w:val="none" w:sz="0" w:space="0" w:color="auto"/>
        <w:right w:val="none" w:sz="0" w:space="0" w:color="auto"/>
      </w:divBdr>
    </w:div>
    <w:div w:id="20514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Основные показатели с/х производства,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Лист1!$B$2:$B$6</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0-5B95-40C4-B6D1-777E9404D343}"/>
            </c:ext>
          </c:extLst>
        </c:ser>
        <c:ser>
          <c:idx val="1"/>
          <c:order val="1"/>
          <c:tx>
            <c:strRef>
              <c:f>Лист1!$C$1</c:f>
              <c:strCache>
                <c:ptCount val="1"/>
                <c:pt idx="0">
                  <c:v>2022</c:v>
                </c:pt>
              </c:strCache>
            </c:strRef>
          </c:tx>
          <c:spPr>
            <a:gradFill>
              <a:gsLst>
                <a:gs pos="100000">
                  <a:schemeClr val="accent3">
                    <a:alpha val="0"/>
                  </a:schemeClr>
                </a:gs>
                <a:gs pos="50000">
                  <a:schemeClr val="accent3"/>
                </a:gs>
              </a:gsLst>
              <a:lin ang="5400000" scaled="0"/>
            </a:gradFill>
            <a:ln>
              <a:noFill/>
            </a:ln>
            <a:effectLst/>
            <a:sp3d/>
          </c:spPr>
          <c:invertIfNegative val="0"/>
          <c:cat>
            <c:strRef>
              <c:f>Лист1!$A$2:$A$6</c:f>
              <c:strCache>
                <c:ptCount val="5"/>
                <c:pt idx="0">
                  <c:v>Производство с/х продукции</c:v>
                </c:pt>
                <c:pt idx="1">
                  <c:v>Производство зеновых</c:v>
                </c:pt>
                <c:pt idx="2">
                  <c:v>Урожайность</c:v>
                </c:pt>
                <c:pt idx="3">
                  <c:v>Молоко</c:v>
                </c:pt>
                <c:pt idx="4">
                  <c:v>Мясо</c:v>
                </c:pt>
              </c:strCache>
            </c:strRef>
          </c:cat>
          <c:val>
            <c:numRef>
              <c:f>Лист1!$C$2:$C$6</c:f>
              <c:numCache>
                <c:formatCode>General</c:formatCode>
                <c:ptCount val="5"/>
                <c:pt idx="0">
                  <c:v>92.2</c:v>
                </c:pt>
                <c:pt idx="1">
                  <c:v>100</c:v>
                </c:pt>
                <c:pt idx="2">
                  <c:v>94.6</c:v>
                </c:pt>
                <c:pt idx="3">
                  <c:v>97.7</c:v>
                </c:pt>
                <c:pt idx="4">
                  <c:v>96.3</c:v>
                </c:pt>
              </c:numCache>
            </c:numRef>
          </c:val>
          <c:extLst xmlns:c16r2="http://schemas.microsoft.com/office/drawing/2015/06/chart">
            <c:ext xmlns:c16="http://schemas.microsoft.com/office/drawing/2014/chart" uri="{C3380CC4-5D6E-409C-BE32-E72D297353CC}">
              <c16:uniqueId val="{00000001-5B95-40C4-B6D1-777E9404D343}"/>
            </c:ext>
          </c:extLst>
        </c:ser>
        <c:dLbls>
          <c:showLegendKey val="0"/>
          <c:showVal val="0"/>
          <c:showCatName val="0"/>
          <c:showSerName val="0"/>
          <c:showPercent val="0"/>
          <c:showBubbleSize val="0"/>
        </c:dLbls>
        <c:gapWidth val="150"/>
        <c:gapDepth val="0"/>
        <c:shape val="box"/>
        <c:axId val="88000000"/>
        <c:axId val="61053120"/>
        <c:axId val="0"/>
      </c:bar3DChart>
      <c:catAx>
        <c:axId val="88000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61053120"/>
        <c:crosses val="autoZero"/>
        <c:auto val="1"/>
        <c:lblAlgn val="ctr"/>
        <c:lblOffset val="100"/>
        <c:noMultiLvlLbl val="0"/>
      </c:catAx>
      <c:valAx>
        <c:axId val="61053120"/>
        <c:scaling>
          <c:orientation val="minMax"/>
          <c:min val="0"/>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8800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ru-RU"/>
              <a:t>Промышленное производство, млн. рублей</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20-4462-82E3-34AC65A8453E}"/>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9420-4462-82E3-34AC65A8453E}"/>
              </c:ext>
            </c:extLst>
          </c:dPt>
          <c:dPt>
            <c:idx val="2"/>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9420-4462-82E3-34AC65A8453E}"/>
              </c:ext>
            </c:extLst>
          </c:dPt>
          <c:dPt>
            <c:idx val="3"/>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9420-4462-82E3-34AC65A8453E}"/>
              </c:ext>
            </c:extLst>
          </c:dPt>
          <c:dPt>
            <c:idx val="4"/>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9420-4462-82E3-34AC65A8453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Хлебокомбинат Кочковского ПТПК</c:v>
                </c:pt>
                <c:pt idx="1">
                  <c:v>Цех полуфабрикатов Кочковского ПТПК</c:v>
                </c:pt>
                <c:pt idx="2">
                  <c:v>Лесхоз</c:v>
                </c:pt>
                <c:pt idx="3">
                  <c:v>Кочковский мясокомбинат</c:v>
                </c:pt>
                <c:pt idx="4">
                  <c:v>Прочие</c:v>
                </c:pt>
              </c:strCache>
            </c:strRef>
          </c:cat>
          <c:val>
            <c:numRef>
              <c:f>Лист1!$B$2:$B$6</c:f>
              <c:numCache>
                <c:formatCode>General</c:formatCode>
                <c:ptCount val="5"/>
                <c:pt idx="0">
                  <c:v>10.1</c:v>
                </c:pt>
                <c:pt idx="1">
                  <c:v>1.1000000000000001</c:v>
                </c:pt>
                <c:pt idx="2">
                  <c:v>2</c:v>
                </c:pt>
                <c:pt idx="3">
                  <c:v>20</c:v>
                </c:pt>
                <c:pt idx="4">
                  <c:v>5.5</c:v>
                </c:pt>
              </c:numCache>
            </c:numRef>
          </c:val>
          <c:extLst xmlns:c16r2="http://schemas.microsoft.com/office/drawing/2015/06/chart">
            <c:ext xmlns:c16="http://schemas.microsoft.com/office/drawing/2014/chart" uri="{C3380CC4-5D6E-409C-BE32-E72D297353CC}">
              <c16:uniqueId val="{0000000C-9420-4462-82E3-34AC65A8453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50" baseline="0">
                <a:solidFill>
                  <a:schemeClr val="tx1">
                    <a:lumMod val="65000"/>
                    <a:lumOff val="35000"/>
                  </a:schemeClr>
                </a:solidFill>
                <a:latin typeface="Bookman Old Style" panose="02050604050505020204" pitchFamily="18" charset="0"/>
                <a:ea typeface="+mn-ea"/>
                <a:cs typeface="+mn-cs"/>
              </a:defRPr>
            </a:pPr>
            <a:r>
              <a:rPr lang="ru-RU"/>
              <a:t>Объем транспортных услуг</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Пассажирские перевозки, тыс.человек</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149.4</c:v>
                </c:pt>
                <c:pt idx="1">
                  <c:v>156.6</c:v>
                </c:pt>
              </c:numCache>
            </c:numRef>
          </c:val>
          <c:extLst xmlns:c16r2="http://schemas.microsoft.com/office/drawing/2015/06/chart">
            <c:ext xmlns:c16="http://schemas.microsoft.com/office/drawing/2014/chart" uri="{C3380CC4-5D6E-409C-BE32-E72D297353CC}">
              <c16:uniqueId val="{00000000-2866-47BA-85E5-B74E06C17DE1}"/>
            </c:ext>
          </c:extLst>
        </c:ser>
        <c:ser>
          <c:idx val="1"/>
          <c:order val="1"/>
          <c:tx>
            <c:strRef>
              <c:f>Лист1!$C$1</c:f>
              <c:strCache>
                <c:ptCount val="1"/>
                <c:pt idx="0">
                  <c:v>Грузовые перевозки, тыс. тонн</c:v>
                </c:pt>
              </c:strCache>
            </c:strRef>
          </c:tx>
          <c:spPr>
            <a:gradFill>
              <a:gsLst>
                <a:gs pos="100000">
                  <a:schemeClr val="accent3">
                    <a:alpha val="0"/>
                  </a:schemeClr>
                </a:gs>
                <a:gs pos="50000">
                  <a:schemeClr val="accent3"/>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bg1"/>
                    </a:solidFill>
                    <a:latin typeface="Bookman Old Style" panose="02050604050505020204" pitchFamily="18" charset="0"/>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237.7</c:v>
                </c:pt>
                <c:pt idx="1">
                  <c:v>242.2</c:v>
                </c:pt>
              </c:numCache>
            </c:numRef>
          </c:val>
          <c:extLst xmlns:c16r2="http://schemas.microsoft.com/office/drawing/2015/06/chart">
            <c:ext xmlns:c16="http://schemas.microsoft.com/office/drawing/2014/chart" uri="{C3380CC4-5D6E-409C-BE32-E72D297353CC}">
              <c16:uniqueId val="{00000001-2866-47BA-85E5-B74E06C17DE1}"/>
            </c:ext>
          </c:extLst>
        </c:ser>
        <c:dLbls>
          <c:showLegendKey val="0"/>
          <c:showVal val="0"/>
          <c:showCatName val="0"/>
          <c:showSerName val="0"/>
          <c:showPercent val="0"/>
          <c:showBubbleSize val="0"/>
        </c:dLbls>
        <c:gapWidth val="150"/>
        <c:gapDepth val="0"/>
        <c:shape val="box"/>
        <c:axId val="88000512"/>
        <c:axId val="71714496"/>
        <c:axId val="67332608"/>
      </c:bar3DChart>
      <c:catAx>
        <c:axId val="88000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71714496"/>
        <c:crosses val="autoZero"/>
        <c:auto val="1"/>
        <c:lblAlgn val="ctr"/>
        <c:lblOffset val="100"/>
        <c:noMultiLvlLbl val="0"/>
      </c:catAx>
      <c:valAx>
        <c:axId val="7171449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88000512"/>
        <c:crosses val="autoZero"/>
        <c:crossBetween val="between"/>
      </c:valAx>
      <c:serAx>
        <c:axId val="67332608"/>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crossAx val="7171449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0">
          <a:latin typeface="Bookman Old Style" panose="020506040505050202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admin</cp:lastModifiedBy>
  <cp:revision>323</cp:revision>
  <cp:lastPrinted>2019-04-30T03:09:00Z</cp:lastPrinted>
  <dcterms:created xsi:type="dcterms:W3CDTF">2017-04-18T09:45:00Z</dcterms:created>
  <dcterms:modified xsi:type="dcterms:W3CDTF">2023-05-11T03:17:00Z</dcterms:modified>
</cp:coreProperties>
</file>