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40" w:rsidRPr="009A21DA" w:rsidRDefault="00831140" w:rsidP="009B4C92">
      <w:pPr>
        <w:autoSpaceDE w:val="0"/>
        <w:autoSpaceDN w:val="0"/>
        <w:adjustRightInd w:val="0"/>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noProof/>
          <w:color w:val="525252" w:themeColor="accent3" w:themeShade="80"/>
          <w:sz w:val="28"/>
          <w:szCs w:val="28"/>
          <w:lang w:eastAsia="ru-RU"/>
        </w:rPr>
        <w:drawing>
          <wp:inline distT="0" distB="0" distL="0" distR="0" wp14:anchorId="61478F9E" wp14:editId="115D899A">
            <wp:extent cx="636043" cy="760873"/>
            <wp:effectExtent l="19050" t="0" r="0" b="0"/>
            <wp:docPr id="1" name="Рисунок 1" descr="C:\Users\Евгений Юрьевич\Desktop\Ge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й Юрьевич\Desktop\Gerb[2].jpg"/>
                    <pic:cNvPicPr>
                      <a:picLocks noChangeAspect="1" noChangeArrowheads="1"/>
                    </pic:cNvPicPr>
                  </pic:nvPicPr>
                  <pic:blipFill>
                    <a:blip r:embed="rId7" cstate="print"/>
                    <a:srcRect/>
                    <a:stretch>
                      <a:fillRect/>
                    </a:stretch>
                  </pic:blipFill>
                  <pic:spPr bwMode="auto">
                    <a:xfrm>
                      <a:off x="0" y="0"/>
                      <a:ext cx="637232" cy="762296"/>
                    </a:xfrm>
                    <a:prstGeom prst="rect">
                      <a:avLst/>
                    </a:prstGeom>
                    <a:noFill/>
                    <a:ln w="9525">
                      <a:noFill/>
                      <a:miter lim="800000"/>
                      <a:headEnd/>
                      <a:tailEnd/>
                    </a:ln>
                  </pic:spPr>
                </pic:pic>
              </a:graphicData>
            </a:graphic>
          </wp:inline>
        </w:drawing>
      </w:r>
    </w:p>
    <w:p w:rsidR="00831140" w:rsidRPr="009A21DA" w:rsidRDefault="00831140" w:rsidP="009B4C92">
      <w:pPr>
        <w:autoSpaceDE w:val="0"/>
        <w:autoSpaceDN w:val="0"/>
        <w:adjustRightInd w:val="0"/>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Cambria"/>
          <w:b/>
          <w:color w:val="525252" w:themeColor="accent3" w:themeShade="80"/>
          <w:sz w:val="28"/>
          <w:szCs w:val="28"/>
          <w:lang w:eastAsia="ru-RU"/>
        </w:rPr>
        <w:t>АДМИНИСТРАЦИЯ</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КОЧКОВСКОГО</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РАЙОНА</w:t>
      </w:r>
      <w:r w:rsidRPr="009A21DA">
        <w:rPr>
          <w:rFonts w:ascii="Bookman Old Style" w:eastAsia="Times New Roman" w:hAnsi="Bookman Old Style" w:cs="Times New Roman"/>
          <w:b/>
          <w:color w:val="525252" w:themeColor="accent3" w:themeShade="80"/>
          <w:sz w:val="28"/>
          <w:szCs w:val="28"/>
          <w:lang w:eastAsia="ru-RU"/>
        </w:rPr>
        <w:t xml:space="preserve"> </w:t>
      </w:r>
    </w:p>
    <w:p w:rsidR="00831140" w:rsidRPr="009A21DA" w:rsidRDefault="00831140" w:rsidP="009B4C92">
      <w:pPr>
        <w:autoSpaceDE w:val="0"/>
        <w:autoSpaceDN w:val="0"/>
        <w:adjustRightInd w:val="0"/>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Cambria"/>
          <w:b/>
          <w:color w:val="525252" w:themeColor="accent3" w:themeShade="80"/>
          <w:sz w:val="28"/>
          <w:szCs w:val="28"/>
          <w:lang w:eastAsia="ru-RU"/>
        </w:rPr>
        <w:t>НОВОСИБИРСКОЙ</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ОБЛАСТИ</w:t>
      </w: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Cambria"/>
          <w:b/>
          <w:color w:val="525252" w:themeColor="accent3" w:themeShade="80"/>
          <w:sz w:val="28"/>
          <w:szCs w:val="28"/>
          <w:lang w:eastAsia="ru-RU"/>
        </w:rPr>
        <w:t>Доклад</w:t>
      </w: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Cambria"/>
          <w:b/>
          <w:color w:val="525252" w:themeColor="accent3" w:themeShade="80"/>
          <w:sz w:val="28"/>
          <w:szCs w:val="28"/>
          <w:lang w:eastAsia="ru-RU"/>
        </w:rPr>
        <w:t>Главы</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Кочковского</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района</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Новосибирской</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области</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Петра</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Александровича</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Шилина</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о</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достигнутых</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значениях</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показателей</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для</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оценки</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эффективности</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деятельности</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органов</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местного</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самоуправления</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Кочковского</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района</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Новосибирской</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области</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за</w:t>
      </w:r>
      <w:r w:rsidRPr="009A21DA">
        <w:rPr>
          <w:rFonts w:ascii="Bookman Old Style" w:eastAsia="Times New Roman" w:hAnsi="Bookman Old Style" w:cs="Times New Roman"/>
          <w:b/>
          <w:color w:val="525252" w:themeColor="accent3" w:themeShade="80"/>
          <w:sz w:val="28"/>
          <w:szCs w:val="28"/>
          <w:lang w:eastAsia="ru-RU"/>
        </w:rPr>
        <w:t xml:space="preserve"> 20</w:t>
      </w:r>
      <w:r w:rsidR="003A7E4B" w:rsidRPr="009A21DA">
        <w:rPr>
          <w:rFonts w:ascii="Bookman Old Style" w:eastAsia="Times New Roman" w:hAnsi="Bookman Old Style" w:cs="Times New Roman"/>
          <w:b/>
          <w:color w:val="525252" w:themeColor="accent3" w:themeShade="80"/>
          <w:sz w:val="28"/>
          <w:szCs w:val="28"/>
          <w:lang w:eastAsia="ru-RU"/>
        </w:rPr>
        <w:t>21</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год</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и</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их</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планируемых</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значениях</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на</w:t>
      </w:r>
      <w:r w:rsidRPr="009A21DA">
        <w:rPr>
          <w:rFonts w:ascii="Bookman Old Style" w:eastAsia="Times New Roman" w:hAnsi="Bookman Old Style" w:cs="Times New Roman"/>
          <w:b/>
          <w:color w:val="525252" w:themeColor="accent3" w:themeShade="80"/>
          <w:sz w:val="28"/>
          <w:szCs w:val="28"/>
          <w:lang w:eastAsia="ru-RU"/>
        </w:rPr>
        <w:t xml:space="preserve"> 3-</w:t>
      </w:r>
      <w:r w:rsidRPr="009A21DA">
        <w:rPr>
          <w:rFonts w:ascii="Bookman Old Style" w:eastAsia="Times New Roman" w:hAnsi="Bookman Old Style" w:cs="Cambria"/>
          <w:b/>
          <w:color w:val="525252" w:themeColor="accent3" w:themeShade="80"/>
          <w:sz w:val="28"/>
          <w:szCs w:val="28"/>
          <w:lang w:eastAsia="ru-RU"/>
        </w:rPr>
        <w:t>летний</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период</w:t>
      </w: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F02432" w:rsidRPr="009A21DA" w:rsidRDefault="00F02432" w:rsidP="009B4C92">
      <w:pPr>
        <w:spacing w:after="0" w:line="276" w:lineRule="auto"/>
        <w:jc w:val="center"/>
        <w:rPr>
          <w:rFonts w:ascii="Bookman Old Style" w:eastAsia="Times New Roman" w:hAnsi="Bookman Old Style" w:cs="Cambria"/>
          <w:b/>
          <w:color w:val="525252" w:themeColor="accent3" w:themeShade="80"/>
          <w:sz w:val="28"/>
          <w:szCs w:val="28"/>
          <w:lang w:eastAsia="ru-RU"/>
        </w:rPr>
      </w:pPr>
    </w:p>
    <w:p w:rsidR="00F02432" w:rsidRPr="009A21DA" w:rsidRDefault="00F02432" w:rsidP="009B4C92">
      <w:pPr>
        <w:spacing w:after="0" w:line="276" w:lineRule="auto"/>
        <w:jc w:val="center"/>
        <w:rPr>
          <w:rFonts w:ascii="Bookman Old Style" w:eastAsia="Times New Roman" w:hAnsi="Bookman Old Style" w:cs="Cambria"/>
          <w:b/>
          <w:color w:val="525252" w:themeColor="accent3" w:themeShade="80"/>
          <w:sz w:val="28"/>
          <w:szCs w:val="28"/>
          <w:lang w:eastAsia="ru-RU"/>
        </w:rPr>
      </w:pPr>
    </w:p>
    <w:p w:rsidR="00FC0C01" w:rsidRPr="009A21DA"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Cambria"/>
          <w:b/>
          <w:color w:val="525252" w:themeColor="accent3" w:themeShade="80"/>
          <w:sz w:val="28"/>
          <w:szCs w:val="28"/>
          <w:lang w:eastAsia="ru-RU"/>
        </w:rPr>
        <w:t>Кочковский</w:t>
      </w:r>
      <w:r w:rsidRPr="009A21DA">
        <w:rPr>
          <w:rFonts w:ascii="Bookman Old Style" w:eastAsia="Times New Roman" w:hAnsi="Bookman Old Style" w:cs="Times New Roman"/>
          <w:b/>
          <w:color w:val="525252" w:themeColor="accent3" w:themeShade="80"/>
          <w:sz w:val="28"/>
          <w:szCs w:val="28"/>
          <w:lang w:eastAsia="ru-RU"/>
        </w:rPr>
        <w:t xml:space="preserve"> </w:t>
      </w:r>
      <w:r w:rsidRPr="009A21DA">
        <w:rPr>
          <w:rFonts w:ascii="Bookman Old Style" w:eastAsia="Times New Roman" w:hAnsi="Bookman Old Style" w:cs="Cambria"/>
          <w:b/>
          <w:color w:val="525252" w:themeColor="accent3" w:themeShade="80"/>
          <w:sz w:val="28"/>
          <w:szCs w:val="28"/>
          <w:lang w:eastAsia="ru-RU"/>
        </w:rPr>
        <w:t>район</w:t>
      </w:r>
      <w:r w:rsidRPr="009A21DA">
        <w:rPr>
          <w:rFonts w:ascii="Bookman Old Style" w:eastAsia="Times New Roman" w:hAnsi="Bookman Old Style" w:cs="Times New Roman"/>
          <w:b/>
          <w:color w:val="525252" w:themeColor="accent3" w:themeShade="80"/>
          <w:sz w:val="28"/>
          <w:szCs w:val="28"/>
          <w:lang w:eastAsia="ru-RU"/>
        </w:rPr>
        <w:t>, 20</w:t>
      </w:r>
      <w:r w:rsidR="003A7E4B" w:rsidRPr="009A21DA">
        <w:rPr>
          <w:rFonts w:ascii="Bookman Old Style" w:eastAsia="Times New Roman" w:hAnsi="Bookman Old Style" w:cs="Times New Roman"/>
          <w:b/>
          <w:color w:val="525252" w:themeColor="accent3" w:themeShade="80"/>
          <w:sz w:val="28"/>
          <w:szCs w:val="28"/>
          <w:lang w:eastAsia="ru-RU"/>
        </w:rPr>
        <w:t>22</w:t>
      </w:r>
    </w:p>
    <w:p w:rsidR="00831140" w:rsidRPr="009A21DA"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lastRenderedPageBreak/>
        <w:t>ОГЛАВЛЕНИЕ</w:t>
      </w:r>
    </w:p>
    <w:p w:rsidR="00831140" w:rsidRPr="009A21DA"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9"/>
        <w:gridCol w:w="675"/>
      </w:tblGrid>
      <w:tr w:rsidR="00831140" w:rsidRPr="009A21DA" w:rsidTr="006401D8">
        <w:trPr>
          <w:trHeight w:val="361"/>
        </w:trPr>
        <w:tc>
          <w:tcPr>
            <w:tcW w:w="8679"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val="en-US" w:eastAsia="ru-RU"/>
              </w:rPr>
            </w:pPr>
            <w:r w:rsidRPr="009A21DA">
              <w:rPr>
                <w:rFonts w:ascii="Bookman Old Style" w:eastAsia="Times New Roman" w:hAnsi="Bookman Old Style" w:cs="Times New Roman"/>
                <w:b/>
                <w:color w:val="525252" w:themeColor="accent3" w:themeShade="80"/>
                <w:sz w:val="28"/>
                <w:szCs w:val="28"/>
                <w:lang w:eastAsia="ru-RU"/>
              </w:rPr>
              <w:t xml:space="preserve">Введение . . . . . . . . . . . . . . . . . . . . . . . . . . . . . . . . . . . . </w:t>
            </w:r>
          </w:p>
        </w:tc>
        <w:tc>
          <w:tcPr>
            <w:tcW w:w="675"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3</w:t>
            </w:r>
          </w:p>
        </w:tc>
      </w:tr>
      <w:tr w:rsidR="00831140" w:rsidRPr="009A21DA" w:rsidTr="006401D8">
        <w:trPr>
          <w:trHeight w:val="361"/>
        </w:trPr>
        <w:tc>
          <w:tcPr>
            <w:tcW w:w="8679"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val="en-US" w:eastAsia="ru-RU"/>
              </w:rPr>
              <w:t>I.</w:t>
            </w:r>
            <w:r w:rsidRPr="009A21DA">
              <w:rPr>
                <w:rFonts w:ascii="Bookman Old Style" w:eastAsia="Times New Roman" w:hAnsi="Bookman Old Style" w:cs="Times New Roman"/>
                <w:b/>
                <w:color w:val="525252" w:themeColor="accent3" w:themeShade="80"/>
                <w:sz w:val="28"/>
                <w:szCs w:val="28"/>
                <w:lang w:eastAsia="ru-RU"/>
              </w:rPr>
              <w:t xml:space="preserve"> Экономическое развитие . . . . . . . . . . . . . . . . . . . . . . </w:t>
            </w:r>
          </w:p>
        </w:tc>
        <w:tc>
          <w:tcPr>
            <w:tcW w:w="675"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4</w:t>
            </w:r>
          </w:p>
        </w:tc>
      </w:tr>
      <w:tr w:rsidR="00831140" w:rsidRPr="009A21DA" w:rsidTr="006401D8">
        <w:trPr>
          <w:trHeight w:val="361"/>
        </w:trPr>
        <w:tc>
          <w:tcPr>
            <w:tcW w:w="8679" w:type="dxa"/>
          </w:tcPr>
          <w:p w:rsidR="00831140" w:rsidRPr="009A21DA"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 xml:space="preserve">Общие сведения . . . . . . . . . . . . . . . . . . . . . . . . . </w:t>
            </w:r>
            <w:r w:rsidR="00E57B43" w:rsidRPr="009A21DA">
              <w:rPr>
                <w:rFonts w:ascii="Bookman Old Style" w:eastAsia="Times New Roman" w:hAnsi="Bookman Old Style" w:cs="Times New Roman"/>
                <w:b/>
                <w:color w:val="525252" w:themeColor="accent3" w:themeShade="80"/>
                <w:sz w:val="28"/>
                <w:szCs w:val="28"/>
                <w:lang w:eastAsia="ru-RU"/>
              </w:rPr>
              <w:t xml:space="preserve">. . . </w:t>
            </w:r>
          </w:p>
        </w:tc>
        <w:tc>
          <w:tcPr>
            <w:tcW w:w="675"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4</w:t>
            </w:r>
          </w:p>
        </w:tc>
      </w:tr>
      <w:tr w:rsidR="00831140" w:rsidRPr="009A21DA" w:rsidTr="006401D8">
        <w:trPr>
          <w:trHeight w:val="361"/>
        </w:trPr>
        <w:tc>
          <w:tcPr>
            <w:tcW w:w="8679" w:type="dxa"/>
          </w:tcPr>
          <w:p w:rsidR="00831140" w:rsidRPr="009A21DA"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 xml:space="preserve">Сельское хозяйство . . . . . . . . . . . . . . . . . . . . . . . </w:t>
            </w:r>
            <w:r w:rsidR="00E57B43" w:rsidRPr="009A21DA">
              <w:rPr>
                <w:rFonts w:ascii="Bookman Old Style" w:eastAsia="Times New Roman" w:hAnsi="Bookman Old Style" w:cs="Times New Roman"/>
                <w:b/>
                <w:color w:val="525252" w:themeColor="accent3" w:themeShade="80"/>
                <w:sz w:val="28"/>
                <w:szCs w:val="28"/>
                <w:lang w:eastAsia="ru-RU"/>
              </w:rPr>
              <w:t>. . .</w:t>
            </w:r>
          </w:p>
        </w:tc>
        <w:tc>
          <w:tcPr>
            <w:tcW w:w="675"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4</w:t>
            </w:r>
          </w:p>
        </w:tc>
      </w:tr>
      <w:tr w:rsidR="00831140" w:rsidRPr="009A21DA" w:rsidTr="006401D8">
        <w:trPr>
          <w:trHeight w:val="361"/>
        </w:trPr>
        <w:tc>
          <w:tcPr>
            <w:tcW w:w="8679" w:type="dxa"/>
          </w:tcPr>
          <w:p w:rsidR="00831140" w:rsidRPr="009A21DA"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 xml:space="preserve">Промышленность . . . . . . . . . . . . . . . . . . . . . . . . </w:t>
            </w:r>
            <w:r w:rsidR="00E57B43" w:rsidRPr="009A21DA">
              <w:rPr>
                <w:rFonts w:ascii="Bookman Old Style" w:eastAsia="Times New Roman" w:hAnsi="Bookman Old Style" w:cs="Times New Roman"/>
                <w:b/>
                <w:color w:val="525252" w:themeColor="accent3" w:themeShade="80"/>
                <w:sz w:val="28"/>
                <w:szCs w:val="28"/>
                <w:lang w:eastAsia="ru-RU"/>
              </w:rPr>
              <w:t xml:space="preserve">. . . </w:t>
            </w:r>
          </w:p>
        </w:tc>
        <w:tc>
          <w:tcPr>
            <w:tcW w:w="675" w:type="dxa"/>
          </w:tcPr>
          <w:p w:rsidR="00831140" w:rsidRPr="009A21DA" w:rsidRDefault="006401D8"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7</w:t>
            </w:r>
          </w:p>
        </w:tc>
      </w:tr>
      <w:tr w:rsidR="00831140" w:rsidRPr="009A21DA" w:rsidTr="006401D8">
        <w:trPr>
          <w:trHeight w:val="381"/>
        </w:trPr>
        <w:tc>
          <w:tcPr>
            <w:tcW w:w="8679" w:type="dxa"/>
          </w:tcPr>
          <w:p w:rsidR="00831140" w:rsidRPr="009A21DA"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 xml:space="preserve">Малое и среднее предпринимательство . . . . . . . </w:t>
            </w:r>
            <w:r w:rsidR="00E57B43" w:rsidRPr="009A21DA">
              <w:rPr>
                <w:rFonts w:ascii="Bookman Old Style" w:eastAsia="Times New Roman" w:hAnsi="Bookman Old Style" w:cs="Times New Roman"/>
                <w:b/>
                <w:color w:val="525252" w:themeColor="accent3" w:themeShade="80"/>
                <w:sz w:val="28"/>
                <w:szCs w:val="28"/>
                <w:lang w:eastAsia="ru-RU"/>
              </w:rPr>
              <w:t>. . .</w:t>
            </w:r>
          </w:p>
        </w:tc>
        <w:tc>
          <w:tcPr>
            <w:tcW w:w="675" w:type="dxa"/>
          </w:tcPr>
          <w:p w:rsidR="00831140" w:rsidRPr="009A21DA" w:rsidRDefault="006401D8"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8</w:t>
            </w:r>
          </w:p>
        </w:tc>
      </w:tr>
      <w:tr w:rsidR="00831140" w:rsidRPr="009A21DA" w:rsidTr="006401D8">
        <w:trPr>
          <w:trHeight w:val="361"/>
        </w:trPr>
        <w:tc>
          <w:tcPr>
            <w:tcW w:w="8679" w:type="dxa"/>
          </w:tcPr>
          <w:p w:rsidR="00831140" w:rsidRPr="009A21DA"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 xml:space="preserve">Строительство и инвестиции . . . . . . . . . . . . . . . </w:t>
            </w:r>
            <w:r w:rsidR="00E57B43" w:rsidRPr="009A21DA">
              <w:rPr>
                <w:rFonts w:ascii="Bookman Old Style" w:eastAsia="Times New Roman" w:hAnsi="Bookman Old Style" w:cs="Times New Roman"/>
                <w:b/>
                <w:color w:val="525252" w:themeColor="accent3" w:themeShade="80"/>
                <w:sz w:val="28"/>
                <w:szCs w:val="28"/>
                <w:lang w:eastAsia="ru-RU"/>
              </w:rPr>
              <w:t>. . .</w:t>
            </w:r>
          </w:p>
        </w:tc>
        <w:tc>
          <w:tcPr>
            <w:tcW w:w="675" w:type="dxa"/>
          </w:tcPr>
          <w:p w:rsidR="00831140" w:rsidRPr="009A21DA" w:rsidRDefault="006401D8"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10</w:t>
            </w:r>
          </w:p>
        </w:tc>
      </w:tr>
      <w:tr w:rsidR="00831140" w:rsidRPr="009A21DA" w:rsidTr="006401D8">
        <w:trPr>
          <w:trHeight w:val="361"/>
        </w:trPr>
        <w:tc>
          <w:tcPr>
            <w:tcW w:w="8679" w:type="dxa"/>
          </w:tcPr>
          <w:p w:rsidR="00831140" w:rsidRPr="009A21DA"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 xml:space="preserve">Доходы населения . . . . . . . . . . . . . . . . . . . . . . . </w:t>
            </w:r>
            <w:r w:rsidR="00E57B43" w:rsidRPr="009A21DA">
              <w:rPr>
                <w:rFonts w:ascii="Bookman Old Style" w:eastAsia="Times New Roman" w:hAnsi="Bookman Old Style" w:cs="Times New Roman"/>
                <w:b/>
                <w:color w:val="525252" w:themeColor="accent3" w:themeShade="80"/>
                <w:sz w:val="28"/>
                <w:szCs w:val="28"/>
                <w:lang w:eastAsia="ru-RU"/>
              </w:rPr>
              <w:t>. . . .</w:t>
            </w:r>
          </w:p>
        </w:tc>
        <w:tc>
          <w:tcPr>
            <w:tcW w:w="675" w:type="dxa"/>
          </w:tcPr>
          <w:p w:rsidR="00831140" w:rsidRPr="009A21DA" w:rsidRDefault="006401D8"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12</w:t>
            </w:r>
          </w:p>
        </w:tc>
      </w:tr>
      <w:tr w:rsidR="00831140" w:rsidRPr="009A21DA" w:rsidTr="006401D8">
        <w:trPr>
          <w:trHeight w:val="361"/>
        </w:trPr>
        <w:tc>
          <w:tcPr>
            <w:tcW w:w="8679" w:type="dxa"/>
          </w:tcPr>
          <w:p w:rsidR="00831140" w:rsidRPr="009A21DA"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 xml:space="preserve">Дорожное хозяйство и транспорт . . . . . . . . . . . </w:t>
            </w:r>
            <w:r w:rsidR="00E57B43" w:rsidRPr="009A21DA">
              <w:rPr>
                <w:rFonts w:ascii="Bookman Old Style" w:eastAsia="Times New Roman" w:hAnsi="Bookman Old Style" w:cs="Times New Roman"/>
                <w:b/>
                <w:color w:val="525252" w:themeColor="accent3" w:themeShade="80"/>
                <w:sz w:val="28"/>
                <w:szCs w:val="28"/>
                <w:lang w:eastAsia="ru-RU"/>
              </w:rPr>
              <w:t>. . . .</w:t>
            </w:r>
          </w:p>
        </w:tc>
        <w:tc>
          <w:tcPr>
            <w:tcW w:w="675" w:type="dxa"/>
          </w:tcPr>
          <w:p w:rsidR="00831140" w:rsidRPr="009A21DA"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1</w:t>
            </w:r>
            <w:r w:rsidR="006401D8" w:rsidRPr="009A21DA">
              <w:rPr>
                <w:rFonts w:ascii="Bookman Old Style" w:eastAsia="Times New Roman" w:hAnsi="Bookman Old Style" w:cs="Times New Roman"/>
                <w:b/>
                <w:color w:val="525252" w:themeColor="accent3" w:themeShade="80"/>
                <w:sz w:val="28"/>
                <w:szCs w:val="28"/>
                <w:lang w:eastAsia="ru-RU"/>
              </w:rPr>
              <w:t>2</w:t>
            </w:r>
          </w:p>
        </w:tc>
      </w:tr>
      <w:tr w:rsidR="00831140" w:rsidRPr="009A21DA" w:rsidTr="006401D8">
        <w:trPr>
          <w:trHeight w:val="361"/>
        </w:trPr>
        <w:tc>
          <w:tcPr>
            <w:tcW w:w="8679"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val="en-US" w:eastAsia="ru-RU"/>
              </w:rPr>
              <w:t>II</w:t>
            </w:r>
            <w:r w:rsidRPr="009A21DA">
              <w:rPr>
                <w:rFonts w:ascii="Bookman Old Style" w:eastAsia="Times New Roman" w:hAnsi="Bookman Old Style" w:cs="Times New Roman"/>
                <w:b/>
                <w:color w:val="525252" w:themeColor="accent3" w:themeShade="80"/>
                <w:sz w:val="28"/>
                <w:szCs w:val="28"/>
                <w:lang w:eastAsia="ru-RU"/>
              </w:rPr>
              <w:t xml:space="preserve">. Здравоохранение и здоровье населения . . . . . . . . . . </w:t>
            </w:r>
          </w:p>
        </w:tc>
        <w:tc>
          <w:tcPr>
            <w:tcW w:w="675" w:type="dxa"/>
          </w:tcPr>
          <w:p w:rsidR="00831140" w:rsidRPr="009A21DA"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1</w:t>
            </w:r>
            <w:r w:rsidR="006401D8" w:rsidRPr="009A21DA">
              <w:rPr>
                <w:rFonts w:ascii="Bookman Old Style" w:eastAsia="Times New Roman" w:hAnsi="Bookman Old Style" w:cs="Times New Roman"/>
                <w:b/>
                <w:color w:val="525252" w:themeColor="accent3" w:themeShade="80"/>
                <w:sz w:val="28"/>
                <w:szCs w:val="28"/>
                <w:lang w:eastAsia="ru-RU"/>
              </w:rPr>
              <w:t>3</w:t>
            </w:r>
          </w:p>
        </w:tc>
      </w:tr>
      <w:tr w:rsidR="00831140" w:rsidRPr="009A21DA" w:rsidTr="006401D8">
        <w:trPr>
          <w:trHeight w:val="381"/>
        </w:trPr>
        <w:tc>
          <w:tcPr>
            <w:tcW w:w="8679"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val="en-US" w:eastAsia="ru-RU"/>
              </w:rPr>
              <w:t>III</w:t>
            </w:r>
            <w:r w:rsidRPr="009A21DA">
              <w:rPr>
                <w:rFonts w:ascii="Bookman Old Style" w:eastAsia="Times New Roman" w:hAnsi="Bookman Old Style" w:cs="Times New Roman"/>
                <w:b/>
                <w:color w:val="525252" w:themeColor="accent3" w:themeShade="80"/>
                <w:sz w:val="28"/>
                <w:szCs w:val="28"/>
                <w:lang w:eastAsia="ru-RU"/>
              </w:rPr>
              <w:t xml:space="preserve">. Образование . . . . . . . . . . . . . . . . . . . . . . . . . . . . . . . </w:t>
            </w:r>
          </w:p>
        </w:tc>
        <w:tc>
          <w:tcPr>
            <w:tcW w:w="675" w:type="dxa"/>
          </w:tcPr>
          <w:p w:rsidR="00831140" w:rsidRPr="009A21DA"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1</w:t>
            </w:r>
            <w:r w:rsidR="00554C3F" w:rsidRPr="009A21DA">
              <w:rPr>
                <w:rFonts w:ascii="Bookman Old Style" w:eastAsia="Times New Roman" w:hAnsi="Bookman Old Style" w:cs="Times New Roman"/>
                <w:b/>
                <w:color w:val="525252" w:themeColor="accent3" w:themeShade="80"/>
                <w:sz w:val="28"/>
                <w:szCs w:val="28"/>
                <w:lang w:eastAsia="ru-RU"/>
              </w:rPr>
              <w:t>4</w:t>
            </w:r>
          </w:p>
        </w:tc>
      </w:tr>
      <w:tr w:rsidR="00831140" w:rsidRPr="009A21DA" w:rsidTr="006401D8">
        <w:trPr>
          <w:trHeight w:val="361"/>
        </w:trPr>
        <w:tc>
          <w:tcPr>
            <w:tcW w:w="8679"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val="en-US" w:eastAsia="ru-RU"/>
              </w:rPr>
              <w:t>IV</w:t>
            </w:r>
            <w:r w:rsidRPr="009A21DA">
              <w:rPr>
                <w:rFonts w:ascii="Bookman Old Style" w:eastAsia="Times New Roman" w:hAnsi="Bookman Old Style" w:cs="Times New Roman"/>
                <w:b/>
                <w:color w:val="525252" w:themeColor="accent3" w:themeShade="80"/>
                <w:sz w:val="28"/>
                <w:szCs w:val="28"/>
                <w:lang w:eastAsia="ru-RU"/>
              </w:rPr>
              <w:t xml:space="preserve">. Культура . . . . . . . . . . . . . . . . . . . . . . . . . . . . . . . . . . </w:t>
            </w:r>
          </w:p>
        </w:tc>
        <w:tc>
          <w:tcPr>
            <w:tcW w:w="675" w:type="dxa"/>
          </w:tcPr>
          <w:p w:rsidR="00831140" w:rsidRPr="009A21DA"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1</w:t>
            </w:r>
            <w:r w:rsidR="00554C3F" w:rsidRPr="009A21DA">
              <w:rPr>
                <w:rFonts w:ascii="Bookman Old Style" w:eastAsia="Times New Roman" w:hAnsi="Bookman Old Style" w:cs="Times New Roman"/>
                <w:b/>
                <w:color w:val="525252" w:themeColor="accent3" w:themeShade="80"/>
                <w:sz w:val="28"/>
                <w:szCs w:val="28"/>
                <w:lang w:eastAsia="ru-RU"/>
              </w:rPr>
              <w:t>5</w:t>
            </w:r>
          </w:p>
        </w:tc>
      </w:tr>
      <w:tr w:rsidR="00831140" w:rsidRPr="009A21DA" w:rsidTr="006401D8">
        <w:trPr>
          <w:trHeight w:val="361"/>
        </w:trPr>
        <w:tc>
          <w:tcPr>
            <w:tcW w:w="8679"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val="en-US" w:eastAsia="ru-RU"/>
              </w:rPr>
              <w:t>VI</w:t>
            </w:r>
            <w:r w:rsidRPr="009A21DA">
              <w:rPr>
                <w:rFonts w:ascii="Bookman Old Style" w:eastAsia="Times New Roman" w:hAnsi="Bookman Old Style" w:cs="Times New Roman"/>
                <w:b/>
                <w:color w:val="525252" w:themeColor="accent3" w:themeShade="80"/>
                <w:sz w:val="28"/>
                <w:szCs w:val="28"/>
                <w:lang w:eastAsia="ru-RU"/>
              </w:rPr>
              <w:t xml:space="preserve">. Физическая культура и спорт . . . . . . . . . . . . . . . . . </w:t>
            </w:r>
          </w:p>
        </w:tc>
        <w:tc>
          <w:tcPr>
            <w:tcW w:w="675" w:type="dxa"/>
          </w:tcPr>
          <w:p w:rsidR="00831140" w:rsidRPr="009A21DA"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1</w:t>
            </w:r>
            <w:r w:rsidR="006401D8" w:rsidRPr="009A21DA">
              <w:rPr>
                <w:rFonts w:ascii="Bookman Old Style" w:eastAsia="Times New Roman" w:hAnsi="Bookman Old Style" w:cs="Times New Roman"/>
                <w:b/>
                <w:color w:val="525252" w:themeColor="accent3" w:themeShade="80"/>
                <w:sz w:val="28"/>
                <w:szCs w:val="28"/>
                <w:lang w:eastAsia="ru-RU"/>
              </w:rPr>
              <w:t>5</w:t>
            </w:r>
          </w:p>
        </w:tc>
      </w:tr>
      <w:tr w:rsidR="00831140" w:rsidRPr="009A21DA" w:rsidTr="006401D8">
        <w:trPr>
          <w:trHeight w:val="361"/>
        </w:trPr>
        <w:tc>
          <w:tcPr>
            <w:tcW w:w="8679" w:type="dxa"/>
          </w:tcPr>
          <w:p w:rsidR="00831140" w:rsidRPr="009A21DA" w:rsidRDefault="00831140" w:rsidP="009B4C92">
            <w:pPr>
              <w:spacing w:line="276" w:lineRule="auto"/>
              <w:jc w:val="both"/>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val="en-US" w:eastAsia="ru-RU"/>
              </w:rPr>
              <w:t>VII</w:t>
            </w:r>
            <w:r w:rsidRPr="009A21DA">
              <w:rPr>
                <w:rFonts w:ascii="Bookman Old Style" w:eastAsia="Times New Roman" w:hAnsi="Bookman Old Style" w:cs="Times New Roman"/>
                <w:b/>
                <w:color w:val="525252" w:themeColor="accent3" w:themeShade="80"/>
                <w:sz w:val="28"/>
                <w:szCs w:val="28"/>
                <w:lang w:eastAsia="ru-RU"/>
              </w:rPr>
              <w:t xml:space="preserve">. Жилищное строительство и обеспечение граждан жильем . . . . . . . . . . . . . . . . . . . . . . . . . . . . . . . . . . . . . . </w:t>
            </w:r>
          </w:p>
        </w:tc>
        <w:tc>
          <w:tcPr>
            <w:tcW w:w="675"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p>
          <w:p w:rsidR="001548D6" w:rsidRPr="009A21DA"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1</w:t>
            </w:r>
            <w:r w:rsidR="006401D8" w:rsidRPr="009A21DA">
              <w:rPr>
                <w:rFonts w:ascii="Bookman Old Style" w:eastAsia="Times New Roman" w:hAnsi="Bookman Old Style" w:cs="Times New Roman"/>
                <w:b/>
                <w:color w:val="525252" w:themeColor="accent3" w:themeShade="80"/>
                <w:sz w:val="28"/>
                <w:szCs w:val="28"/>
                <w:lang w:eastAsia="ru-RU"/>
              </w:rPr>
              <w:t>6</w:t>
            </w:r>
          </w:p>
        </w:tc>
      </w:tr>
      <w:tr w:rsidR="00831140" w:rsidRPr="009A21DA" w:rsidTr="006401D8">
        <w:trPr>
          <w:trHeight w:val="361"/>
        </w:trPr>
        <w:tc>
          <w:tcPr>
            <w:tcW w:w="8679"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val="en-US" w:eastAsia="ru-RU"/>
              </w:rPr>
              <w:t>VIII</w:t>
            </w:r>
            <w:r w:rsidRPr="009A21DA">
              <w:rPr>
                <w:rFonts w:ascii="Bookman Old Style" w:eastAsia="Times New Roman" w:hAnsi="Bookman Old Style" w:cs="Times New Roman"/>
                <w:b/>
                <w:color w:val="525252" w:themeColor="accent3" w:themeShade="80"/>
                <w:sz w:val="28"/>
                <w:szCs w:val="28"/>
                <w:lang w:eastAsia="ru-RU"/>
              </w:rPr>
              <w:t xml:space="preserve">. Жилищно-коммунальное хозяйство . . . . . . . . . . . </w:t>
            </w:r>
          </w:p>
        </w:tc>
        <w:tc>
          <w:tcPr>
            <w:tcW w:w="675" w:type="dxa"/>
          </w:tcPr>
          <w:p w:rsidR="00831140" w:rsidRPr="009A21DA"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1</w:t>
            </w:r>
            <w:r w:rsidR="006401D8" w:rsidRPr="009A21DA">
              <w:rPr>
                <w:rFonts w:ascii="Bookman Old Style" w:eastAsia="Times New Roman" w:hAnsi="Bookman Old Style" w:cs="Times New Roman"/>
                <w:b/>
                <w:color w:val="525252" w:themeColor="accent3" w:themeShade="80"/>
                <w:sz w:val="28"/>
                <w:szCs w:val="28"/>
                <w:lang w:eastAsia="ru-RU"/>
              </w:rPr>
              <w:t>6</w:t>
            </w:r>
          </w:p>
        </w:tc>
      </w:tr>
      <w:tr w:rsidR="00831140" w:rsidRPr="009A21DA" w:rsidTr="006401D8">
        <w:trPr>
          <w:trHeight w:val="361"/>
        </w:trPr>
        <w:tc>
          <w:tcPr>
            <w:tcW w:w="8679" w:type="dxa"/>
          </w:tcPr>
          <w:p w:rsidR="00831140" w:rsidRPr="009A21DA"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val="en-US" w:eastAsia="ru-RU"/>
              </w:rPr>
              <w:t>IX</w:t>
            </w:r>
            <w:r w:rsidRPr="009A21DA">
              <w:rPr>
                <w:rFonts w:ascii="Bookman Old Style" w:eastAsia="Times New Roman" w:hAnsi="Bookman Old Style" w:cs="Times New Roman"/>
                <w:b/>
                <w:color w:val="525252" w:themeColor="accent3" w:themeShade="80"/>
                <w:sz w:val="28"/>
                <w:szCs w:val="28"/>
                <w:lang w:eastAsia="ru-RU"/>
              </w:rPr>
              <w:t xml:space="preserve">. Организация муниципального управления . . . . . . . </w:t>
            </w:r>
          </w:p>
        </w:tc>
        <w:tc>
          <w:tcPr>
            <w:tcW w:w="675" w:type="dxa"/>
          </w:tcPr>
          <w:p w:rsidR="00831140" w:rsidRPr="009A21DA"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9A21DA">
              <w:rPr>
                <w:rFonts w:ascii="Bookman Old Style" w:eastAsia="Times New Roman" w:hAnsi="Bookman Old Style" w:cs="Times New Roman"/>
                <w:b/>
                <w:color w:val="525252" w:themeColor="accent3" w:themeShade="80"/>
                <w:sz w:val="28"/>
                <w:szCs w:val="28"/>
                <w:lang w:eastAsia="ru-RU"/>
              </w:rPr>
              <w:t>1</w:t>
            </w:r>
            <w:r w:rsidR="006401D8" w:rsidRPr="009A21DA">
              <w:rPr>
                <w:rFonts w:ascii="Bookman Old Style" w:eastAsia="Times New Roman" w:hAnsi="Bookman Old Style" w:cs="Times New Roman"/>
                <w:b/>
                <w:color w:val="525252" w:themeColor="accent3" w:themeShade="80"/>
                <w:sz w:val="28"/>
                <w:szCs w:val="28"/>
                <w:lang w:eastAsia="ru-RU"/>
              </w:rPr>
              <w:t>7</w:t>
            </w:r>
          </w:p>
        </w:tc>
      </w:tr>
    </w:tbl>
    <w:p w:rsidR="00831140" w:rsidRPr="009A21DA"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p>
    <w:p w:rsidR="00831140" w:rsidRPr="009A21DA" w:rsidRDefault="00831140" w:rsidP="009B4C92">
      <w:pPr>
        <w:spacing w:line="276" w:lineRule="auto"/>
        <w:rPr>
          <w:rFonts w:ascii="Bookman Old Style" w:hAnsi="Bookman Old Style" w:cs="Times New Roman"/>
          <w:sz w:val="28"/>
          <w:szCs w:val="28"/>
        </w:rPr>
      </w:pPr>
    </w:p>
    <w:p w:rsidR="00831140" w:rsidRPr="009A21DA" w:rsidRDefault="00831140" w:rsidP="009B4C92">
      <w:pPr>
        <w:spacing w:line="276" w:lineRule="auto"/>
        <w:rPr>
          <w:rFonts w:ascii="Bookman Old Style" w:hAnsi="Bookman Old Style" w:cs="Times New Roman"/>
          <w:sz w:val="28"/>
          <w:szCs w:val="28"/>
        </w:rPr>
      </w:pPr>
    </w:p>
    <w:p w:rsidR="00831140" w:rsidRPr="009A21DA" w:rsidRDefault="00831140" w:rsidP="009B4C92">
      <w:pPr>
        <w:spacing w:line="276" w:lineRule="auto"/>
        <w:rPr>
          <w:rFonts w:ascii="Bookman Old Style" w:hAnsi="Bookman Old Style" w:cs="Times New Roman"/>
          <w:sz w:val="28"/>
          <w:szCs w:val="28"/>
        </w:rPr>
      </w:pPr>
    </w:p>
    <w:p w:rsidR="00831140" w:rsidRPr="009A21DA" w:rsidRDefault="00831140" w:rsidP="009B4C92">
      <w:pPr>
        <w:spacing w:line="276" w:lineRule="auto"/>
        <w:rPr>
          <w:rFonts w:ascii="Bookman Old Style" w:hAnsi="Bookman Old Style" w:cs="Times New Roman"/>
          <w:sz w:val="28"/>
          <w:szCs w:val="28"/>
        </w:rPr>
      </w:pPr>
    </w:p>
    <w:p w:rsidR="00831140" w:rsidRPr="009A21DA" w:rsidRDefault="00831140" w:rsidP="009B4C92">
      <w:pPr>
        <w:spacing w:line="276" w:lineRule="auto"/>
        <w:rPr>
          <w:rFonts w:ascii="Bookman Old Style" w:hAnsi="Bookman Old Style" w:cs="Times New Roman"/>
          <w:sz w:val="28"/>
          <w:szCs w:val="28"/>
        </w:rPr>
      </w:pPr>
    </w:p>
    <w:p w:rsidR="00831140" w:rsidRPr="009A21DA" w:rsidRDefault="00831140" w:rsidP="009B4C92">
      <w:pPr>
        <w:spacing w:line="276" w:lineRule="auto"/>
        <w:rPr>
          <w:rFonts w:ascii="Bookman Old Style" w:hAnsi="Bookman Old Style" w:cs="Times New Roman"/>
          <w:sz w:val="28"/>
          <w:szCs w:val="28"/>
        </w:rPr>
      </w:pPr>
    </w:p>
    <w:p w:rsidR="00831140" w:rsidRPr="009A21DA" w:rsidRDefault="00831140" w:rsidP="009B4C92">
      <w:pPr>
        <w:spacing w:line="276" w:lineRule="auto"/>
        <w:rPr>
          <w:rFonts w:ascii="Bookman Old Style" w:hAnsi="Bookman Old Style" w:cs="Times New Roman"/>
          <w:sz w:val="28"/>
          <w:szCs w:val="28"/>
        </w:rPr>
      </w:pPr>
    </w:p>
    <w:p w:rsidR="00F02432" w:rsidRPr="009A21DA" w:rsidRDefault="00F02432" w:rsidP="009B4C92">
      <w:pPr>
        <w:spacing w:after="0" w:line="276" w:lineRule="auto"/>
        <w:ind w:firstLine="709"/>
        <w:jc w:val="both"/>
        <w:rPr>
          <w:rFonts w:ascii="Bookman Old Style" w:hAnsi="Bookman Old Style" w:cs="Times New Roman"/>
          <w:b/>
          <w:sz w:val="28"/>
          <w:szCs w:val="28"/>
        </w:rPr>
      </w:pPr>
    </w:p>
    <w:p w:rsidR="00F02432" w:rsidRPr="009A21DA" w:rsidRDefault="00F02432" w:rsidP="009B4C92">
      <w:pPr>
        <w:spacing w:after="0" w:line="276" w:lineRule="auto"/>
        <w:ind w:firstLine="709"/>
        <w:jc w:val="both"/>
        <w:rPr>
          <w:rFonts w:ascii="Bookman Old Style" w:hAnsi="Bookman Old Style" w:cs="Times New Roman"/>
          <w:b/>
          <w:sz w:val="28"/>
          <w:szCs w:val="28"/>
        </w:rPr>
      </w:pPr>
    </w:p>
    <w:p w:rsidR="00F02432" w:rsidRPr="009A21DA" w:rsidRDefault="00F02432" w:rsidP="009B4C92">
      <w:pPr>
        <w:spacing w:after="0" w:line="276" w:lineRule="auto"/>
        <w:ind w:firstLine="709"/>
        <w:jc w:val="both"/>
        <w:rPr>
          <w:rFonts w:ascii="Bookman Old Style" w:hAnsi="Bookman Old Style" w:cs="Times New Roman"/>
          <w:b/>
          <w:sz w:val="28"/>
          <w:szCs w:val="28"/>
        </w:rPr>
      </w:pPr>
    </w:p>
    <w:p w:rsidR="00F02432" w:rsidRPr="009A21DA" w:rsidRDefault="00F02432" w:rsidP="009B4C92">
      <w:pPr>
        <w:spacing w:after="0" w:line="276" w:lineRule="auto"/>
        <w:ind w:firstLine="709"/>
        <w:jc w:val="both"/>
        <w:rPr>
          <w:rFonts w:ascii="Bookman Old Style" w:hAnsi="Bookman Old Style" w:cs="Times New Roman"/>
          <w:b/>
          <w:sz w:val="28"/>
          <w:szCs w:val="28"/>
        </w:rPr>
      </w:pPr>
    </w:p>
    <w:p w:rsidR="00F02432" w:rsidRPr="009A21DA" w:rsidRDefault="00F02432" w:rsidP="009B4C92">
      <w:pPr>
        <w:spacing w:after="0" w:line="276" w:lineRule="auto"/>
        <w:ind w:firstLine="709"/>
        <w:jc w:val="both"/>
        <w:rPr>
          <w:rFonts w:ascii="Bookman Old Style" w:hAnsi="Bookman Old Style" w:cs="Times New Roman"/>
          <w:b/>
          <w:sz w:val="28"/>
          <w:szCs w:val="28"/>
        </w:rPr>
      </w:pPr>
    </w:p>
    <w:p w:rsidR="00EC5B9B" w:rsidRPr="009A21DA" w:rsidRDefault="00EC5B9B" w:rsidP="009B4C92">
      <w:pPr>
        <w:spacing w:after="0" w:line="276" w:lineRule="auto"/>
        <w:ind w:firstLine="709"/>
        <w:jc w:val="both"/>
        <w:rPr>
          <w:rFonts w:ascii="Bookman Old Style" w:hAnsi="Bookman Old Style" w:cs="Times New Roman"/>
          <w:b/>
          <w:sz w:val="28"/>
          <w:szCs w:val="28"/>
        </w:rPr>
      </w:pPr>
    </w:p>
    <w:p w:rsidR="003A2203" w:rsidRPr="009A21DA" w:rsidRDefault="003A2203" w:rsidP="009B4C92">
      <w:pPr>
        <w:spacing w:after="0" w:line="276" w:lineRule="auto"/>
        <w:ind w:firstLine="709"/>
        <w:jc w:val="both"/>
        <w:rPr>
          <w:rFonts w:ascii="Bookman Old Style" w:hAnsi="Bookman Old Style" w:cs="Times New Roman"/>
          <w:b/>
          <w:sz w:val="28"/>
          <w:szCs w:val="28"/>
        </w:rPr>
      </w:pPr>
      <w:r w:rsidRPr="009A21DA">
        <w:rPr>
          <w:rFonts w:ascii="Bookman Old Style" w:hAnsi="Bookman Old Style" w:cs="Times New Roman"/>
          <w:b/>
          <w:sz w:val="28"/>
          <w:szCs w:val="28"/>
        </w:rPr>
        <w:lastRenderedPageBreak/>
        <w:t>ВВЕДЕНИЕ</w:t>
      </w:r>
    </w:p>
    <w:p w:rsidR="003A2203" w:rsidRPr="009A21DA" w:rsidRDefault="003A2203"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Доклад Главы Кочковского района Новосибирской области о достигнутых значениях показателей для оценки эффективности деятельности органов местного самоуправления Кочковского района Новосибирской области за 20</w:t>
      </w:r>
      <w:r w:rsidR="00DF3973" w:rsidRPr="009A21DA">
        <w:rPr>
          <w:rFonts w:ascii="Bookman Old Style" w:hAnsi="Bookman Old Style" w:cs="Times New Roman"/>
          <w:sz w:val="28"/>
          <w:szCs w:val="28"/>
        </w:rPr>
        <w:t>21</w:t>
      </w:r>
      <w:r w:rsidRPr="009A21DA">
        <w:rPr>
          <w:rFonts w:ascii="Bookman Old Style" w:hAnsi="Bookman Old Style" w:cs="Times New Roman"/>
          <w:sz w:val="28"/>
          <w:szCs w:val="28"/>
        </w:rPr>
        <w:t xml:space="preserve"> год и их планируемых значениях на 3-летний период подготовлен в соответствии с пунктом 3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p>
    <w:p w:rsidR="003A2203" w:rsidRPr="009A21DA" w:rsidRDefault="003A2203"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Расчет показателей производился в соответствии с утвержденными методологическими пояснениями с использованием официальных данных, предоставленных органами местного самоуправления, территориальным органом Федеральной службы государственной статистики по Новосибирской области, а также данных социологических опросов, проводимых Правительством Новосибирской области.</w:t>
      </w:r>
    </w:p>
    <w:p w:rsidR="003A2203" w:rsidRPr="009A21DA" w:rsidRDefault="003A2203"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В докладе представлены показатели деятельности Администрации Кочковского района в рамках Федерального закона от 06.10.2003 № 131-ФЗ «Об общих принципах организации местного самоуправления в Российской Федерации».</w:t>
      </w:r>
    </w:p>
    <w:p w:rsidR="003A2203" w:rsidRPr="009A21DA" w:rsidRDefault="003A2203"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Основной целью работы органов местного самоуправления является повышение уровня и качества жизни населения, развитие экономики Кочковского района. </w:t>
      </w:r>
    </w:p>
    <w:p w:rsidR="003A2203" w:rsidRPr="009A21DA" w:rsidRDefault="003A2203"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Для достижения цели органами местного самоуправления разработан широкий спектр муниципальных программ во всех отраслях в рамках полномочий.</w:t>
      </w:r>
    </w:p>
    <w:p w:rsidR="0028029A" w:rsidRPr="009A21DA" w:rsidRDefault="0028029A" w:rsidP="009B4C92">
      <w:pPr>
        <w:spacing w:after="0" w:line="276" w:lineRule="auto"/>
        <w:ind w:firstLine="709"/>
        <w:jc w:val="both"/>
        <w:rPr>
          <w:rFonts w:ascii="Bookman Old Style" w:hAnsi="Bookman Old Style" w:cs="Times New Roman"/>
          <w:sz w:val="28"/>
          <w:szCs w:val="28"/>
        </w:rPr>
      </w:pPr>
    </w:p>
    <w:p w:rsidR="0028029A" w:rsidRPr="009A21DA" w:rsidRDefault="0028029A" w:rsidP="009B4C92">
      <w:pPr>
        <w:spacing w:after="0" w:line="276" w:lineRule="auto"/>
        <w:ind w:firstLine="709"/>
        <w:jc w:val="both"/>
        <w:rPr>
          <w:rFonts w:ascii="Bookman Old Style" w:hAnsi="Bookman Old Style" w:cs="Times New Roman"/>
          <w:sz w:val="28"/>
          <w:szCs w:val="28"/>
        </w:rPr>
      </w:pPr>
    </w:p>
    <w:p w:rsidR="0028029A" w:rsidRPr="009A21DA" w:rsidRDefault="0028029A" w:rsidP="009B4C92">
      <w:pPr>
        <w:spacing w:after="0" w:line="276" w:lineRule="auto"/>
        <w:ind w:firstLine="709"/>
        <w:jc w:val="both"/>
        <w:rPr>
          <w:rFonts w:ascii="Bookman Old Style" w:hAnsi="Bookman Old Style" w:cs="Times New Roman"/>
          <w:sz w:val="28"/>
          <w:szCs w:val="28"/>
        </w:rPr>
      </w:pPr>
    </w:p>
    <w:p w:rsidR="009E3038" w:rsidRPr="009A21DA" w:rsidRDefault="009E3038" w:rsidP="009B4C92">
      <w:pPr>
        <w:spacing w:after="0" w:line="276" w:lineRule="auto"/>
        <w:ind w:firstLine="709"/>
        <w:jc w:val="both"/>
        <w:rPr>
          <w:rFonts w:ascii="Bookman Old Style" w:hAnsi="Bookman Old Style" w:cs="Times New Roman"/>
          <w:sz w:val="28"/>
          <w:szCs w:val="28"/>
        </w:rPr>
      </w:pPr>
    </w:p>
    <w:p w:rsidR="009E3038" w:rsidRPr="009A21DA" w:rsidRDefault="009E3038" w:rsidP="009B4C92">
      <w:pPr>
        <w:spacing w:after="0" w:line="276" w:lineRule="auto"/>
        <w:ind w:firstLine="709"/>
        <w:jc w:val="both"/>
        <w:rPr>
          <w:rFonts w:ascii="Bookman Old Style" w:hAnsi="Bookman Old Style" w:cs="Times New Roman"/>
          <w:sz w:val="28"/>
          <w:szCs w:val="28"/>
        </w:rPr>
      </w:pPr>
    </w:p>
    <w:p w:rsidR="009E3038" w:rsidRPr="009A21DA" w:rsidRDefault="009E3038" w:rsidP="009B4C92">
      <w:pPr>
        <w:spacing w:after="0" w:line="276" w:lineRule="auto"/>
        <w:ind w:firstLine="709"/>
        <w:jc w:val="both"/>
        <w:rPr>
          <w:rFonts w:ascii="Bookman Old Style" w:hAnsi="Bookman Old Style" w:cs="Times New Roman"/>
          <w:sz w:val="28"/>
          <w:szCs w:val="28"/>
        </w:rPr>
      </w:pPr>
    </w:p>
    <w:p w:rsidR="009E3038" w:rsidRPr="009A21DA" w:rsidRDefault="009E3038" w:rsidP="009B4C92">
      <w:pPr>
        <w:spacing w:after="0" w:line="276" w:lineRule="auto"/>
        <w:ind w:firstLine="709"/>
        <w:jc w:val="both"/>
        <w:rPr>
          <w:rFonts w:ascii="Bookman Old Style" w:hAnsi="Bookman Old Style" w:cs="Times New Roman"/>
          <w:sz w:val="28"/>
          <w:szCs w:val="28"/>
        </w:rPr>
      </w:pPr>
    </w:p>
    <w:p w:rsidR="009E3038" w:rsidRPr="009A21DA" w:rsidRDefault="009E3038" w:rsidP="009B4C92">
      <w:pPr>
        <w:spacing w:after="0" w:line="276" w:lineRule="auto"/>
        <w:ind w:firstLine="709"/>
        <w:jc w:val="both"/>
        <w:rPr>
          <w:rFonts w:ascii="Bookman Old Style" w:hAnsi="Bookman Old Style" w:cs="Times New Roman"/>
          <w:sz w:val="28"/>
          <w:szCs w:val="28"/>
        </w:rPr>
      </w:pPr>
    </w:p>
    <w:p w:rsidR="009E3038" w:rsidRPr="009A21DA" w:rsidRDefault="009E3038" w:rsidP="009B4C92">
      <w:pPr>
        <w:spacing w:after="0" w:line="276" w:lineRule="auto"/>
        <w:ind w:firstLine="709"/>
        <w:jc w:val="both"/>
        <w:rPr>
          <w:rFonts w:ascii="Bookman Old Style" w:hAnsi="Bookman Old Style" w:cs="Times New Roman"/>
          <w:sz w:val="28"/>
          <w:szCs w:val="28"/>
        </w:rPr>
      </w:pPr>
    </w:p>
    <w:p w:rsidR="009E3038" w:rsidRPr="009A21DA" w:rsidRDefault="009E3038" w:rsidP="009B4C92">
      <w:pPr>
        <w:spacing w:after="0" w:line="276" w:lineRule="auto"/>
        <w:ind w:firstLine="709"/>
        <w:jc w:val="both"/>
        <w:rPr>
          <w:rFonts w:ascii="Bookman Old Style" w:hAnsi="Bookman Old Style" w:cs="Times New Roman"/>
          <w:sz w:val="28"/>
          <w:szCs w:val="28"/>
        </w:rPr>
      </w:pPr>
    </w:p>
    <w:p w:rsidR="0065300C" w:rsidRPr="009A21DA" w:rsidRDefault="0065300C" w:rsidP="009B4C92">
      <w:pPr>
        <w:numPr>
          <w:ilvl w:val="0"/>
          <w:numId w:val="2"/>
        </w:numPr>
        <w:spacing w:after="0" w:line="276" w:lineRule="auto"/>
        <w:jc w:val="center"/>
        <w:rPr>
          <w:rFonts w:ascii="Bookman Old Style" w:hAnsi="Bookman Old Style" w:cs="Times New Roman"/>
          <w:b/>
          <w:color w:val="171717" w:themeColor="background2" w:themeShade="1A"/>
          <w:sz w:val="28"/>
          <w:szCs w:val="28"/>
        </w:rPr>
      </w:pPr>
      <w:r w:rsidRPr="009A21DA">
        <w:rPr>
          <w:rFonts w:ascii="Bookman Old Style" w:hAnsi="Bookman Old Style" w:cs="Times New Roman"/>
          <w:b/>
          <w:color w:val="171717" w:themeColor="background2" w:themeShade="1A"/>
          <w:sz w:val="28"/>
          <w:szCs w:val="28"/>
        </w:rPr>
        <w:lastRenderedPageBreak/>
        <w:t>Экономическое развитие</w:t>
      </w:r>
    </w:p>
    <w:p w:rsidR="0029734F" w:rsidRPr="009A21DA" w:rsidRDefault="0029734F" w:rsidP="009B4C92">
      <w:pPr>
        <w:spacing w:after="0" w:line="276" w:lineRule="auto"/>
        <w:ind w:firstLine="709"/>
        <w:jc w:val="both"/>
        <w:rPr>
          <w:rFonts w:ascii="Bookman Old Style" w:hAnsi="Bookman Old Style" w:cs="Times New Roman"/>
          <w:b/>
          <w:sz w:val="28"/>
          <w:szCs w:val="28"/>
        </w:rPr>
      </w:pPr>
    </w:p>
    <w:p w:rsidR="0065300C" w:rsidRPr="009A21DA" w:rsidRDefault="0065300C" w:rsidP="009B4C92">
      <w:pPr>
        <w:spacing w:after="0" w:line="276" w:lineRule="auto"/>
        <w:ind w:firstLine="709"/>
        <w:jc w:val="both"/>
        <w:rPr>
          <w:rFonts w:ascii="Bookman Old Style" w:hAnsi="Bookman Old Style" w:cs="Times New Roman"/>
          <w:b/>
          <w:sz w:val="28"/>
          <w:szCs w:val="28"/>
        </w:rPr>
      </w:pPr>
      <w:r w:rsidRPr="009A21DA">
        <w:rPr>
          <w:rFonts w:ascii="Bookman Old Style" w:hAnsi="Bookman Old Style" w:cs="Times New Roman"/>
          <w:b/>
          <w:sz w:val="28"/>
          <w:szCs w:val="28"/>
        </w:rPr>
        <w:t>Общие сведения</w:t>
      </w:r>
    </w:p>
    <w:p w:rsidR="0065300C" w:rsidRPr="009A21DA" w:rsidRDefault="0065300C"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Кочковский район образован 12 сентября 1924 года на базе Решетовской, Кочковской и Жуланской волостей. Общая площадь района 2517,7 км</w:t>
      </w:r>
      <w:r w:rsidRPr="009A21DA">
        <w:rPr>
          <w:rFonts w:ascii="Bookman Old Style" w:hAnsi="Bookman Old Style" w:cs="Times New Roman"/>
          <w:sz w:val="28"/>
          <w:szCs w:val="28"/>
          <w:vertAlign w:val="superscript"/>
        </w:rPr>
        <w:t>2</w:t>
      </w:r>
      <w:r w:rsidRPr="009A21DA">
        <w:rPr>
          <w:rFonts w:ascii="Bookman Old Style" w:hAnsi="Bookman Old Style" w:cs="Times New Roman"/>
          <w:sz w:val="28"/>
          <w:szCs w:val="28"/>
        </w:rPr>
        <w:t>.</w:t>
      </w:r>
    </w:p>
    <w:p w:rsidR="0065300C" w:rsidRPr="009A21DA" w:rsidRDefault="0065300C"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Район граничит с Краснозерским, Доволенским, Каргатским, Чулымским и Ордынским районами Новосибирской области, на юге с Алтайским краем. Административный центр района село Кочки. В состав района входят 19 поселений, объединенных в 10 сельсоветов. Численность населения по состоянию на 31 декабря 20</w:t>
      </w:r>
      <w:r w:rsidR="008B45F2" w:rsidRPr="009A21DA">
        <w:rPr>
          <w:rFonts w:ascii="Bookman Old Style" w:hAnsi="Bookman Old Style" w:cs="Times New Roman"/>
          <w:sz w:val="28"/>
          <w:szCs w:val="28"/>
        </w:rPr>
        <w:t>21</w:t>
      </w:r>
      <w:r w:rsidRPr="009A21DA">
        <w:rPr>
          <w:rFonts w:ascii="Bookman Old Style" w:hAnsi="Bookman Old Style" w:cs="Times New Roman"/>
          <w:sz w:val="28"/>
          <w:szCs w:val="28"/>
        </w:rPr>
        <w:t xml:space="preserve"> года составила 1</w:t>
      </w:r>
      <w:r w:rsidR="005F0768" w:rsidRPr="009A21DA">
        <w:rPr>
          <w:rFonts w:ascii="Bookman Old Style" w:hAnsi="Bookman Old Style" w:cs="Times New Roman"/>
          <w:sz w:val="28"/>
          <w:szCs w:val="28"/>
        </w:rPr>
        <w:t>3</w:t>
      </w:r>
      <w:r w:rsidR="008B45F2" w:rsidRPr="009A21DA">
        <w:rPr>
          <w:rFonts w:ascii="Bookman Old Style" w:hAnsi="Bookman Old Style" w:cs="Times New Roman"/>
          <w:sz w:val="28"/>
          <w:szCs w:val="28"/>
        </w:rPr>
        <w:t>009</w:t>
      </w:r>
      <w:r w:rsidRPr="009A21DA">
        <w:rPr>
          <w:rFonts w:ascii="Bookman Old Style" w:hAnsi="Bookman Old Style" w:cs="Times New Roman"/>
          <w:sz w:val="28"/>
          <w:szCs w:val="28"/>
        </w:rPr>
        <w:t xml:space="preserve"> человек. Плотность населения 5,</w:t>
      </w:r>
      <w:r w:rsidR="00E662D8" w:rsidRPr="009A21DA">
        <w:rPr>
          <w:rFonts w:ascii="Bookman Old Style" w:hAnsi="Bookman Old Style" w:cs="Times New Roman"/>
          <w:sz w:val="28"/>
          <w:szCs w:val="28"/>
        </w:rPr>
        <w:t>3</w:t>
      </w:r>
      <w:r w:rsidRPr="009A21DA">
        <w:rPr>
          <w:rFonts w:ascii="Bookman Old Style" w:hAnsi="Bookman Old Style" w:cs="Times New Roman"/>
          <w:sz w:val="28"/>
          <w:szCs w:val="28"/>
        </w:rPr>
        <w:t xml:space="preserve"> человек на км</w:t>
      </w:r>
      <w:r w:rsidRPr="009A21DA">
        <w:rPr>
          <w:rFonts w:ascii="Bookman Old Style" w:hAnsi="Bookman Old Style" w:cs="Times New Roman"/>
          <w:sz w:val="28"/>
          <w:szCs w:val="28"/>
          <w:vertAlign w:val="superscript"/>
        </w:rPr>
        <w:t>2</w:t>
      </w:r>
      <w:r w:rsidRPr="009A21DA">
        <w:rPr>
          <w:rFonts w:ascii="Bookman Old Style" w:hAnsi="Bookman Old Style" w:cs="Times New Roman"/>
          <w:sz w:val="28"/>
          <w:szCs w:val="28"/>
        </w:rPr>
        <w:t>.</w:t>
      </w:r>
    </w:p>
    <w:p w:rsidR="0065300C" w:rsidRPr="009A21DA" w:rsidRDefault="0065300C"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Все сельские поселения соединены с районным центром дорогами с твердым покрытием. </w:t>
      </w:r>
    </w:p>
    <w:p w:rsidR="0065300C" w:rsidRPr="009A21DA" w:rsidRDefault="0065300C"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Район расположен в лесостепи. Площадь лесного фонда равна 1495 тыс. га, лесная и покрытая лесом – 14,2 тыс. га, лесистость – 5,6 %.</w:t>
      </w:r>
    </w:p>
    <w:p w:rsidR="0065300C" w:rsidRPr="009A21DA" w:rsidRDefault="0065300C"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Охотничье-промысловая фауна небогата из-за отсутствия пригодных местообитаний. В основном водятся косули, зайцы, корсаки, лисы и другие. Из полезных ископаемых -  суглинки кирпичные.</w:t>
      </w:r>
    </w:p>
    <w:p w:rsidR="0065300C" w:rsidRPr="009A21DA" w:rsidRDefault="0065300C" w:rsidP="009B4C92">
      <w:pPr>
        <w:spacing w:after="0" w:line="276" w:lineRule="auto"/>
        <w:ind w:firstLine="709"/>
        <w:jc w:val="both"/>
        <w:rPr>
          <w:rFonts w:ascii="Bookman Old Style" w:hAnsi="Bookman Old Style" w:cs="Times New Roman"/>
          <w:sz w:val="28"/>
          <w:szCs w:val="28"/>
        </w:rPr>
      </w:pPr>
    </w:p>
    <w:p w:rsidR="0065300C" w:rsidRPr="009A21DA" w:rsidRDefault="0065300C" w:rsidP="009B4C92">
      <w:pPr>
        <w:spacing w:after="0" w:line="276" w:lineRule="auto"/>
        <w:ind w:firstLine="709"/>
        <w:jc w:val="both"/>
        <w:rPr>
          <w:rFonts w:ascii="Bookman Old Style" w:hAnsi="Bookman Old Style" w:cs="Times New Roman"/>
          <w:b/>
          <w:sz w:val="28"/>
          <w:szCs w:val="28"/>
        </w:rPr>
      </w:pPr>
      <w:r w:rsidRPr="009A21DA">
        <w:rPr>
          <w:rFonts w:ascii="Bookman Old Style" w:hAnsi="Bookman Old Style" w:cs="Times New Roman"/>
          <w:b/>
          <w:sz w:val="28"/>
          <w:szCs w:val="28"/>
        </w:rPr>
        <w:t>Сельское хозяйство</w:t>
      </w:r>
    </w:p>
    <w:p w:rsidR="00E662D8" w:rsidRPr="009A21DA" w:rsidRDefault="00E662D8" w:rsidP="00E662D8">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Объемы производства продукции сельского хозяйства всеми производителями, включая </w:t>
      </w:r>
      <w:r w:rsidR="005A3689" w:rsidRPr="009A21DA">
        <w:rPr>
          <w:rFonts w:ascii="Bookman Old Style" w:hAnsi="Bookman Old Style" w:cs="Times New Roman"/>
          <w:sz w:val="28"/>
          <w:szCs w:val="28"/>
        </w:rPr>
        <w:t>ЛПХ, в 2021</w:t>
      </w:r>
      <w:r w:rsidRPr="009A21DA">
        <w:rPr>
          <w:rFonts w:ascii="Bookman Old Style" w:hAnsi="Bookman Old Style" w:cs="Times New Roman"/>
          <w:sz w:val="28"/>
          <w:szCs w:val="28"/>
        </w:rPr>
        <w:t xml:space="preserve"> году достигли показателя </w:t>
      </w:r>
      <w:r w:rsidR="005A3689" w:rsidRPr="009A21DA">
        <w:rPr>
          <w:rFonts w:ascii="Bookman Old Style" w:hAnsi="Bookman Old Style" w:cs="Times New Roman"/>
          <w:sz w:val="28"/>
          <w:szCs w:val="28"/>
        </w:rPr>
        <w:t xml:space="preserve">4399 </w:t>
      </w:r>
      <w:r w:rsidRPr="009A21DA">
        <w:rPr>
          <w:rFonts w:ascii="Bookman Old Style" w:hAnsi="Bookman Old Style" w:cs="Times New Roman"/>
          <w:sz w:val="28"/>
          <w:szCs w:val="28"/>
        </w:rPr>
        <w:t xml:space="preserve">млн. рублей против </w:t>
      </w:r>
      <w:r w:rsidR="005A3689" w:rsidRPr="009A21DA">
        <w:rPr>
          <w:rFonts w:ascii="Bookman Old Style" w:hAnsi="Bookman Old Style" w:cs="Times New Roman"/>
          <w:sz w:val="28"/>
          <w:szCs w:val="28"/>
        </w:rPr>
        <w:t>2855</w:t>
      </w:r>
      <w:r w:rsidRPr="009A21DA">
        <w:rPr>
          <w:rFonts w:ascii="Bookman Old Style" w:hAnsi="Bookman Old Style" w:cs="Times New Roman"/>
          <w:sz w:val="28"/>
          <w:szCs w:val="28"/>
        </w:rPr>
        <w:t xml:space="preserve"> млн. рублей в 20</w:t>
      </w:r>
      <w:r w:rsidR="005A3689" w:rsidRPr="009A21DA">
        <w:rPr>
          <w:rFonts w:ascii="Bookman Old Style" w:hAnsi="Bookman Old Style" w:cs="Times New Roman"/>
          <w:sz w:val="28"/>
          <w:szCs w:val="28"/>
        </w:rPr>
        <w:t>20</w:t>
      </w:r>
      <w:r w:rsidRPr="009A21DA">
        <w:rPr>
          <w:rFonts w:ascii="Bookman Old Style" w:hAnsi="Bookman Old Style" w:cs="Times New Roman"/>
          <w:sz w:val="28"/>
          <w:szCs w:val="28"/>
        </w:rPr>
        <w:t xml:space="preserve"> году.</w:t>
      </w:r>
    </w:p>
    <w:p w:rsidR="00156104" w:rsidRPr="009A21DA" w:rsidRDefault="00156104" w:rsidP="0015610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Рост объёмов производства в денежном выражении связан в большей степени с ростом производства зерна на 34 %, а также с увеличением цены реализации на продукцию растениеводства. Вместе с этим, отрасль животноводства показывает снижение по всем показателям (в сельхозпредприятиях): производство молока на 12 %, производство мяса на 2 %, поголовье КРС на 14 %, в т. ч. коров на 6 %.</w:t>
      </w:r>
    </w:p>
    <w:p w:rsidR="00156104" w:rsidRPr="009A21DA" w:rsidRDefault="00156104" w:rsidP="0015610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План заготовки сена хозяйствами района выполнен на 117,2 %, по закладке сенажа на 105,7 %, силоса на 90,7 %.</w:t>
      </w:r>
    </w:p>
    <w:p w:rsidR="00156104" w:rsidRPr="009A21DA" w:rsidRDefault="00156104" w:rsidP="0015610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lastRenderedPageBreak/>
        <w:t xml:space="preserve">Предстояло убрать зерновых и зернобобовых культур на площади 69576 гектара. Уборочные работы выполнены на 98,2 %. Валовой сбор составил 166,8 тыс. тонн при урожайности 24,4 ц/га. 35,7 центнеров с гектара получили ОАО «Жуланка». </w:t>
      </w:r>
    </w:p>
    <w:p w:rsidR="00156104" w:rsidRPr="009A21DA" w:rsidRDefault="00156104" w:rsidP="0015610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Хозяйства района обмолотили яровой рапс на площади 9780 га при средней урожайности 14,4 ц/га. Максимальную урожайность рапса получил ИП глава КФХ Мазалов О.Б.  – 37,8 ц/га. </w:t>
      </w:r>
    </w:p>
    <w:p w:rsidR="00156104" w:rsidRPr="009A21DA" w:rsidRDefault="00156104" w:rsidP="0015610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АО «Кудряшовское» возделывало сою на площади 5166 га при средней урожайности 13,2 ц/га. Кроме этого, хозяйствами района и некоторыми КФХ был собран урожай льна. Средняя урожайность составила 6,6 ц/га.</w:t>
      </w:r>
    </w:p>
    <w:p w:rsidR="00E662D8" w:rsidRPr="009A21DA" w:rsidRDefault="00156104" w:rsidP="0015610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Кроме уборочных работ проведена вспашка зяби под урожай будущего года на площади 21862 гектара, это 56 % к плану на 2021 год. Отсыпано семян под посев 2022 года 132 990 центнеров или 93,6 %. </w:t>
      </w:r>
      <w:r w:rsidR="00E662D8" w:rsidRPr="009A21DA">
        <w:rPr>
          <w:rFonts w:ascii="Bookman Old Style" w:hAnsi="Bookman Old Style" w:cs="Times New Roman"/>
          <w:sz w:val="28"/>
          <w:szCs w:val="28"/>
        </w:rPr>
        <w:t xml:space="preserve"> </w:t>
      </w:r>
    </w:p>
    <w:p w:rsidR="00B82686" w:rsidRPr="009A21DA" w:rsidRDefault="00B82686" w:rsidP="00E662D8">
      <w:pPr>
        <w:spacing w:after="0" w:line="276" w:lineRule="auto"/>
        <w:jc w:val="both"/>
        <w:rPr>
          <w:rFonts w:ascii="Bookman Old Style" w:hAnsi="Bookman Old Style" w:cs="Times New Roman"/>
          <w:sz w:val="28"/>
          <w:szCs w:val="28"/>
        </w:rPr>
      </w:pPr>
      <w:r w:rsidRPr="009A21DA">
        <w:rPr>
          <w:rFonts w:ascii="Bookman Old Style" w:hAnsi="Bookman Old Style" w:cs="Times New Roman"/>
          <w:noProof/>
          <w:sz w:val="28"/>
          <w:szCs w:val="28"/>
          <w:lang w:eastAsia="ru-RU"/>
        </w:rPr>
        <w:drawing>
          <wp:inline distT="0" distB="0" distL="0" distR="0">
            <wp:extent cx="5932170" cy="3209925"/>
            <wp:effectExtent l="0" t="0" r="1143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2686" w:rsidRPr="009A21DA" w:rsidRDefault="00B82686"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Рисунок 1 – Основные показатели сельскохозяйственного производства.</w:t>
      </w:r>
    </w:p>
    <w:p w:rsidR="00D70FC2" w:rsidRPr="009A21DA" w:rsidRDefault="00D70FC2" w:rsidP="009B4C92">
      <w:pPr>
        <w:spacing w:after="0" w:line="276" w:lineRule="auto"/>
        <w:ind w:firstLine="709"/>
        <w:jc w:val="both"/>
        <w:rPr>
          <w:rFonts w:ascii="Bookman Old Style" w:hAnsi="Bookman Old Style" w:cs="Times New Roman"/>
          <w:sz w:val="28"/>
          <w:szCs w:val="28"/>
        </w:rPr>
      </w:pPr>
    </w:p>
    <w:p w:rsidR="00792634" w:rsidRPr="009A21DA" w:rsidRDefault="00792634" w:rsidP="0079263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Заготовлено кормов для животноводства в зимовку 2021 – 2022 годов: сена </w:t>
      </w:r>
      <w:r w:rsidRPr="009A21DA">
        <w:rPr>
          <w:rFonts w:ascii="Bookman Old Style" w:hAnsi="Bookman Old Style" w:cs="Times New Roman"/>
          <w:bCs/>
          <w:sz w:val="28"/>
          <w:szCs w:val="28"/>
        </w:rPr>
        <w:t>5562.6</w:t>
      </w:r>
      <w:r w:rsidRPr="009A21DA">
        <w:rPr>
          <w:rFonts w:ascii="Bookman Old Style" w:hAnsi="Bookman Old Style" w:cs="Times New Roman"/>
          <w:sz w:val="28"/>
          <w:szCs w:val="28"/>
        </w:rPr>
        <w:t xml:space="preserve"> тонн, 17351 тонн сенажа, </w:t>
      </w:r>
      <w:r w:rsidRPr="009A21DA">
        <w:rPr>
          <w:rFonts w:ascii="Bookman Old Style" w:hAnsi="Bookman Old Style" w:cs="Times New Roman"/>
          <w:bCs/>
          <w:sz w:val="28"/>
          <w:szCs w:val="28"/>
        </w:rPr>
        <w:t>2817</w:t>
      </w:r>
      <w:r w:rsidRPr="009A21DA">
        <w:rPr>
          <w:rFonts w:ascii="Bookman Old Style" w:hAnsi="Bookman Old Style" w:cs="Times New Roman"/>
          <w:sz w:val="28"/>
          <w:szCs w:val="28"/>
        </w:rPr>
        <w:t xml:space="preserve"> тонн силоса, засыпано 4770.4тонн фуража, что составляет </w:t>
      </w:r>
      <w:r w:rsidRPr="009A21DA">
        <w:rPr>
          <w:rFonts w:ascii="Bookman Old Style" w:hAnsi="Bookman Old Style" w:cs="Times New Roman"/>
          <w:bCs/>
          <w:sz w:val="28"/>
          <w:szCs w:val="28"/>
        </w:rPr>
        <w:t xml:space="preserve">32.9 </w:t>
      </w:r>
      <w:r w:rsidRPr="009A21DA">
        <w:rPr>
          <w:rFonts w:ascii="Bookman Old Style" w:hAnsi="Bookman Old Style" w:cs="Times New Roman"/>
          <w:sz w:val="28"/>
          <w:szCs w:val="28"/>
        </w:rPr>
        <w:t>ц кормовых единиц на 1 условную голову.</w:t>
      </w:r>
    </w:p>
    <w:p w:rsidR="00792634" w:rsidRPr="009A21DA" w:rsidRDefault="00792634" w:rsidP="0079263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lastRenderedPageBreak/>
        <w:t xml:space="preserve">Животноводством в Кочковском районе занимаются 4 хозяйства - ОАО «Решетовское» и ООО «Покровское» занимаются производством молока, а ООО «Алтайский продукт 22» и ООО «Ермаковское» выращиванием молодняка молочных пород. </w:t>
      </w:r>
    </w:p>
    <w:p w:rsidR="00792634" w:rsidRPr="009A21DA" w:rsidRDefault="00792634" w:rsidP="0079263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Всего крупного рогатого скота во всех категориях хозяйств на 01.01.2022г имеется </w:t>
      </w:r>
      <w:r w:rsidRPr="009A21DA">
        <w:rPr>
          <w:rFonts w:ascii="Bookman Old Style" w:hAnsi="Bookman Old Style" w:cs="Times New Roman"/>
          <w:bCs/>
          <w:sz w:val="28"/>
          <w:szCs w:val="28"/>
        </w:rPr>
        <w:t xml:space="preserve">10756 </w:t>
      </w:r>
      <w:r w:rsidRPr="009A21DA">
        <w:rPr>
          <w:rFonts w:ascii="Bookman Old Style" w:hAnsi="Bookman Old Style" w:cs="Times New Roman"/>
          <w:sz w:val="28"/>
          <w:szCs w:val="28"/>
        </w:rPr>
        <w:t>голов, что ниже уровня прошлого года на 13%.</w:t>
      </w:r>
    </w:p>
    <w:p w:rsidR="00792634" w:rsidRPr="009A21DA" w:rsidRDefault="00792634" w:rsidP="0079263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Продуктивность дойного стада снизилась и составила 3744 кг на одну фуражную корову (92,6 % к 2020 году), валовое производство молока – 16643,9 тонн в хозяйствах всех категорий.</w:t>
      </w:r>
    </w:p>
    <w:p w:rsidR="00792634" w:rsidRPr="009A21DA" w:rsidRDefault="00792634" w:rsidP="0079263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В сельхозпредприятиях валовой привес молодняка КРС составил 416,5 тонн, что ниже уровня 2020 года на 16,7 %, среднесуточный привес – 463 г или 109,7 % к уровню 2020 года. </w:t>
      </w:r>
    </w:p>
    <w:p w:rsidR="00792634" w:rsidRPr="009A21DA" w:rsidRDefault="00792634" w:rsidP="0079263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В 2021 году в хозяйствах района произошло уменьшение падежа КРС на 32 % к уровню прошлого года. Наибольший падеж наблюдается в ОАО «Алтайский продукт 22» (201голова – 19,6 % к обороту стада).</w:t>
      </w:r>
    </w:p>
    <w:p w:rsidR="00792634" w:rsidRPr="009A21DA" w:rsidRDefault="00792634" w:rsidP="0079263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В хозяйствах всех категорий кроме КРС имеются лошади (483 головы).</w:t>
      </w:r>
    </w:p>
    <w:p w:rsidR="00792634" w:rsidRPr="009A21DA" w:rsidRDefault="00792634" w:rsidP="00792634">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t>Вы</w:t>
      </w:r>
      <w:r w:rsidRPr="009A21DA">
        <w:rPr>
          <w:rFonts w:ascii="Bookman Old Style" w:hAnsi="Bookman Old Style" w:cs="Times New Roman"/>
          <w:bCs/>
          <w:sz w:val="28"/>
          <w:szCs w:val="28"/>
          <w:lang w:val="x-none"/>
        </w:rPr>
        <w:t xml:space="preserve">ручка от реализации продукции, товаров, работ и услуг за отчетный период составила </w:t>
      </w:r>
      <w:r w:rsidRPr="009A21DA">
        <w:rPr>
          <w:rFonts w:ascii="Bookman Old Style" w:hAnsi="Bookman Old Style" w:cs="Times New Roman"/>
          <w:bCs/>
          <w:sz w:val="28"/>
          <w:szCs w:val="28"/>
        </w:rPr>
        <w:t>1504</w:t>
      </w:r>
      <w:r w:rsidRPr="009A21DA">
        <w:rPr>
          <w:rFonts w:ascii="Bookman Old Style" w:hAnsi="Bookman Old Style" w:cs="Times New Roman"/>
          <w:bCs/>
          <w:sz w:val="28"/>
          <w:szCs w:val="28"/>
          <w:lang w:val="x-none"/>
        </w:rPr>
        <w:t xml:space="preserve"> млн. руб., в том числе от реализации сельскохозяйственной продукции</w:t>
      </w:r>
      <w:r w:rsidRPr="009A21DA">
        <w:rPr>
          <w:rFonts w:ascii="Bookman Old Style" w:hAnsi="Bookman Old Style" w:cs="Times New Roman"/>
          <w:bCs/>
          <w:sz w:val="28"/>
          <w:szCs w:val="28"/>
        </w:rPr>
        <w:t xml:space="preserve"> собственного производства</w:t>
      </w:r>
      <w:r w:rsidRPr="009A21DA">
        <w:rPr>
          <w:rFonts w:ascii="Bookman Old Style" w:hAnsi="Bookman Old Style" w:cs="Times New Roman"/>
          <w:bCs/>
          <w:sz w:val="28"/>
          <w:szCs w:val="28"/>
          <w:lang w:val="x-none"/>
        </w:rPr>
        <w:t xml:space="preserve"> – </w:t>
      </w:r>
      <w:r w:rsidRPr="009A21DA">
        <w:rPr>
          <w:rFonts w:ascii="Bookman Old Style" w:hAnsi="Bookman Old Style" w:cs="Times New Roman"/>
          <w:bCs/>
          <w:sz w:val="28"/>
          <w:szCs w:val="28"/>
        </w:rPr>
        <w:t>1391,8</w:t>
      </w:r>
      <w:r w:rsidRPr="009A21DA">
        <w:rPr>
          <w:rFonts w:ascii="Bookman Old Style" w:hAnsi="Bookman Old Style" w:cs="Times New Roman"/>
          <w:bCs/>
          <w:sz w:val="28"/>
          <w:szCs w:val="28"/>
          <w:lang w:val="x-none"/>
        </w:rPr>
        <w:t xml:space="preserve"> млн.</w:t>
      </w:r>
      <w:r w:rsidRPr="009A21DA">
        <w:rPr>
          <w:rFonts w:ascii="Bookman Old Style" w:hAnsi="Bookman Old Style" w:cs="Times New Roman"/>
          <w:bCs/>
          <w:sz w:val="28"/>
          <w:szCs w:val="28"/>
        </w:rPr>
        <w:t xml:space="preserve"> </w:t>
      </w:r>
      <w:r w:rsidRPr="009A21DA">
        <w:rPr>
          <w:rFonts w:ascii="Bookman Old Style" w:hAnsi="Bookman Old Style" w:cs="Times New Roman"/>
          <w:bCs/>
          <w:sz w:val="28"/>
          <w:szCs w:val="28"/>
          <w:lang w:val="x-none"/>
        </w:rPr>
        <w:t>руб. (</w:t>
      </w:r>
      <w:r w:rsidRPr="009A21DA">
        <w:rPr>
          <w:rFonts w:ascii="Bookman Old Style" w:hAnsi="Bookman Old Style" w:cs="Times New Roman"/>
          <w:bCs/>
          <w:sz w:val="28"/>
          <w:szCs w:val="28"/>
        </w:rPr>
        <w:t>92,5</w:t>
      </w:r>
      <w:r w:rsidRPr="009A21DA">
        <w:rPr>
          <w:rFonts w:ascii="Bookman Old Style" w:hAnsi="Bookman Old Style" w:cs="Times New Roman"/>
          <w:bCs/>
          <w:sz w:val="28"/>
          <w:szCs w:val="28"/>
          <w:lang w:val="x-none"/>
        </w:rPr>
        <w:t>%).  Финансовый результат за 20</w:t>
      </w:r>
      <w:r w:rsidRPr="009A21DA">
        <w:rPr>
          <w:rFonts w:ascii="Bookman Old Style" w:hAnsi="Bookman Old Style" w:cs="Times New Roman"/>
          <w:bCs/>
          <w:sz w:val="28"/>
          <w:szCs w:val="28"/>
        </w:rPr>
        <w:t>21</w:t>
      </w:r>
      <w:r w:rsidRPr="009A21DA">
        <w:rPr>
          <w:rFonts w:ascii="Bookman Old Style" w:hAnsi="Bookman Old Style" w:cs="Times New Roman"/>
          <w:bCs/>
          <w:sz w:val="28"/>
          <w:szCs w:val="28"/>
          <w:lang w:val="x-none"/>
        </w:rPr>
        <w:t xml:space="preserve"> год до налогообложения в целом по району </w:t>
      </w:r>
      <w:r w:rsidRPr="009A21DA">
        <w:rPr>
          <w:rFonts w:ascii="Bookman Old Style" w:hAnsi="Bookman Old Style" w:cs="Times New Roman"/>
          <w:bCs/>
          <w:sz w:val="28"/>
          <w:szCs w:val="28"/>
        </w:rPr>
        <w:t>положительный</w:t>
      </w:r>
      <w:r w:rsidRPr="009A21DA">
        <w:rPr>
          <w:rFonts w:ascii="Bookman Old Style" w:hAnsi="Bookman Old Style" w:cs="Times New Roman"/>
          <w:bCs/>
          <w:sz w:val="28"/>
          <w:szCs w:val="28"/>
          <w:lang w:val="x-none"/>
        </w:rPr>
        <w:t xml:space="preserve"> и </w:t>
      </w:r>
      <w:r w:rsidRPr="009A21DA">
        <w:rPr>
          <w:rFonts w:ascii="Bookman Old Style" w:hAnsi="Bookman Old Style" w:cs="Times New Roman"/>
          <w:bCs/>
          <w:sz w:val="28"/>
          <w:szCs w:val="28"/>
        </w:rPr>
        <w:t>прибыль</w:t>
      </w:r>
      <w:r w:rsidRPr="009A21DA">
        <w:rPr>
          <w:rFonts w:ascii="Bookman Old Style" w:hAnsi="Bookman Old Style" w:cs="Times New Roman"/>
          <w:bCs/>
          <w:sz w:val="28"/>
          <w:szCs w:val="28"/>
          <w:lang w:val="x-none"/>
        </w:rPr>
        <w:t xml:space="preserve"> по своду составляет</w:t>
      </w:r>
      <w:r w:rsidRPr="009A21DA">
        <w:rPr>
          <w:rFonts w:ascii="Bookman Old Style" w:hAnsi="Bookman Old Style" w:cs="Times New Roman"/>
          <w:bCs/>
          <w:sz w:val="28"/>
          <w:szCs w:val="28"/>
        </w:rPr>
        <w:t xml:space="preserve"> 346,6</w:t>
      </w:r>
      <w:r w:rsidRPr="009A21DA">
        <w:rPr>
          <w:rFonts w:ascii="Bookman Old Style" w:hAnsi="Bookman Old Style" w:cs="Times New Roman"/>
          <w:bCs/>
          <w:sz w:val="28"/>
          <w:szCs w:val="28"/>
          <w:lang w:val="x-none"/>
        </w:rPr>
        <w:t xml:space="preserve"> млн.</w:t>
      </w:r>
      <w:r w:rsidRPr="009A21DA">
        <w:rPr>
          <w:rFonts w:ascii="Bookman Old Style" w:hAnsi="Bookman Old Style" w:cs="Times New Roman"/>
          <w:bCs/>
          <w:sz w:val="28"/>
          <w:szCs w:val="28"/>
        </w:rPr>
        <w:t xml:space="preserve"> </w:t>
      </w:r>
      <w:r w:rsidRPr="009A21DA">
        <w:rPr>
          <w:rFonts w:ascii="Bookman Old Style" w:hAnsi="Bookman Old Style" w:cs="Times New Roman"/>
          <w:bCs/>
          <w:sz w:val="28"/>
          <w:szCs w:val="28"/>
          <w:lang w:val="x-none"/>
        </w:rPr>
        <w:t xml:space="preserve">руб., </w:t>
      </w:r>
      <w:r w:rsidRPr="009A21DA">
        <w:rPr>
          <w:rFonts w:ascii="Bookman Old Style" w:hAnsi="Bookman Old Style" w:cs="Times New Roman"/>
          <w:bCs/>
          <w:sz w:val="28"/>
          <w:szCs w:val="28"/>
        </w:rPr>
        <w:t>три</w:t>
      </w:r>
      <w:r w:rsidRPr="009A21DA">
        <w:rPr>
          <w:rFonts w:ascii="Bookman Old Style" w:hAnsi="Bookman Old Style" w:cs="Times New Roman"/>
          <w:bCs/>
          <w:sz w:val="28"/>
          <w:szCs w:val="28"/>
          <w:lang w:val="x-none"/>
        </w:rPr>
        <w:t xml:space="preserve"> хозяйств</w:t>
      </w:r>
      <w:r w:rsidRPr="009A21DA">
        <w:rPr>
          <w:rFonts w:ascii="Bookman Old Style" w:hAnsi="Bookman Old Style" w:cs="Times New Roman"/>
          <w:bCs/>
          <w:sz w:val="28"/>
          <w:szCs w:val="28"/>
        </w:rPr>
        <w:t>а</w:t>
      </w:r>
      <w:r w:rsidRPr="009A21DA">
        <w:rPr>
          <w:rFonts w:ascii="Bookman Old Style" w:hAnsi="Bookman Old Style" w:cs="Times New Roman"/>
          <w:bCs/>
          <w:sz w:val="28"/>
          <w:szCs w:val="28"/>
          <w:lang w:val="x-none"/>
        </w:rPr>
        <w:t xml:space="preserve"> за отчетный период (</w:t>
      </w:r>
      <w:r w:rsidRPr="009A21DA">
        <w:rPr>
          <w:rFonts w:ascii="Bookman Old Style" w:hAnsi="Bookman Old Style" w:cs="Times New Roman"/>
          <w:bCs/>
          <w:sz w:val="28"/>
          <w:szCs w:val="28"/>
        </w:rPr>
        <w:t xml:space="preserve">ООО «МТС Кулунда», ООО ПП «Солнечный», </w:t>
      </w:r>
      <w:r w:rsidRPr="009A21DA">
        <w:rPr>
          <w:rFonts w:ascii="Bookman Old Style" w:hAnsi="Bookman Old Style" w:cs="Times New Roman"/>
          <w:bCs/>
          <w:sz w:val="28"/>
          <w:szCs w:val="28"/>
          <w:lang w:val="x-none"/>
        </w:rPr>
        <w:t>ООО «Индерское») получил</w:t>
      </w:r>
      <w:r w:rsidRPr="009A21DA">
        <w:rPr>
          <w:rFonts w:ascii="Bookman Old Style" w:hAnsi="Bookman Old Style" w:cs="Times New Roman"/>
          <w:bCs/>
          <w:sz w:val="28"/>
          <w:szCs w:val="28"/>
        </w:rPr>
        <w:t>о</w:t>
      </w:r>
      <w:r w:rsidRPr="009A21DA">
        <w:rPr>
          <w:rFonts w:ascii="Bookman Old Style" w:hAnsi="Bookman Old Style" w:cs="Times New Roman"/>
          <w:bCs/>
          <w:sz w:val="28"/>
          <w:szCs w:val="28"/>
          <w:lang w:val="x-none"/>
        </w:rPr>
        <w:t xml:space="preserve"> убыток в размере </w:t>
      </w:r>
      <w:r w:rsidRPr="009A21DA">
        <w:rPr>
          <w:rFonts w:ascii="Bookman Old Style" w:hAnsi="Bookman Old Style" w:cs="Times New Roman"/>
          <w:bCs/>
          <w:sz w:val="28"/>
          <w:szCs w:val="28"/>
        </w:rPr>
        <w:t>22,2</w:t>
      </w:r>
      <w:r w:rsidRPr="009A21DA">
        <w:rPr>
          <w:rFonts w:ascii="Bookman Old Style" w:hAnsi="Bookman Old Style" w:cs="Times New Roman"/>
          <w:bCs/>
          <w:sz w:val="28"/>
          <w:szCs w:val="28"/>
          <w:lang w:val="x-none"/>
        </w:rPr>
        <w:t xml:space="preserve"> млн.</w:t>
      </w:r>
      <w:r w:rsidRPr="009A21DA">
        <w:rPr>
          <w:rFonts w:ascii="Bookman Old Style" w:hAnsi="Bookman Old Style" w:cs="Times New Roman"/>
          <w:bCs/>
          <w:sz w:val="28"/>
          <w:szCs w:val="28"/>
        </w:rPr>
        <w:t xml:space="preserve"> </w:t>
      </w:r>
      <w:r w:rsidRPr="009A21DA">
        <w:rPr>
          <w:rFonts w:ascii="Bookman Old Style" w:hAnsi="Bookman Old Style" w:cs="Times New Roman"/>
          <w:bCs/>
          <w:sz w:val="28"/>
          <w:szCs w:val="28"/>
          <w:lang w:val="x-none"/>
        </w:rPr>
        <w:t xml:space="preserve">руб. (Список прилагается). </w:t>
      </w:r>
    </w:p>
    <w:p w:rsidR="00792634" w:rsidRPr="009A21DA" w:rsidRDefault="00792634" w:rsidP="00792634">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lang w:val="x-none"/>
        </w:rPr>
        <w:t>За отчетный период сельскохозяйственными предприятиями, КФХ и ЛПХ района получено</w:t>
      </w:r>
      <w:r w:rsidRPr="009A21DA">
        <w:rPr>
          <w:rFonts w:ascii="Bookman Old Style" w:hAnsi="Bookman Old Style" w:cs="Times New Roman"/>
          <w:bCs/>
          <w:sz w:val="28"/>
          <w:szCs w:val="28"/>
        </w:rPr>
        <w:t xml:space="preserve"> </w:t>
      </w:r>
      <w:r w:rsidRPr="009A21DA">
        <w:rPr>
          <w:rFonts w:ascii="Bookman Old Style" w:hAnsi="Bookman Old Style" w:cs="Times New Roman"/>
          <w:bCs/>
          <w:sz w:val="28"/>
          <w:szCs w:val="28"/>
          <w:lang w:val="x-none"/>
        </w:rPr>
        <w:t xml:space="preserve">субсидий из бюджетов всех уровней </w:t>
      </w:r>
      <w:r w:rsidRPr="009A21DA">
        <w:rPr>
          <w:rFonts w:ascii="Bookman Old Style" w:hAnsi="Bookman Old Style" w:cs="Times New Roman"/>
          <w:bCs/>
          <w:sz w:val="28"/>
          <w:szCs w:val="28"/>
        </w:rPr>
        <w:t>85,8</w:t>
      </w:r>
      <w:r w:rsidRPr="009A21DA">
        <w:rPr>
          <w:rFonts w:ascii="Bookman Old Style" w:hAnsi="Bookman Old Style" w:cs="Times New Roman"/>
          <w:bCs/>
          <w:sz w:val="28"/>
          <w:szCs w:val="28"/>
          <w:lang w:val="x-none"/>
        </w:rPr>
        <w:t xml:space="preserve"> млн. руб.</w:t>
      </w:r>
    </w:p>
    <w:p w:rsidR="00095DA7" w:rsidRPr="009A21DA" w:rsidRDefault="00792634" w:rsidP="00792634">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bCs/>
          <w:sz w:val="28"/>
          <w:szCs w:val="28"/>
          <w:lang w:val="x-none"/>
        </w:rPr>
        <w:t>Государственная поддержка сельскохозяйственного производства Кочковского района в целом за 20</w:t>
      </w:r>
      <w:r w:rsidRPr="009A21DA">
        <w:rPr>
          <w:rFonts w:ascii="Bookman Old Style" w:hAnsi="Bookman Old Style" w:cs="Times New Roman"/>
          <w:bCs/>
          <w:sz w:val="28"/>
          <w:szCs w:val="28"/>
        </w:rPr>
        <w:t>21</w:t>
      </w:r>
      <w:r w:rsidRPr="009A21DA">
        <w:rPr>
          <w:rFonts w:ascii="Bookman Old Style" w:hAnsi="Bookman Old Style" w:cs="Times New Roman"/>
          <w:bCs/>
          <w:sz w:val="28"/>
          <w:szCs w:val="28"/>
          <w:lang w:val="x-none"/>
        </w:rPr>
        <w:t xml:space="preserve"> год осуществлялась из федерального (</w:t>
      </w:r>
      <w:r w:rsidRPr="009A21DA">
        <w:rPr>
          <w:rFonts w:ascii="Bookman Old Style" w:hAnsi="Bookman Old Style" w:cs="Times New Roman"/>
          <w:bCs/>
          <w:sz w:val="28"/>
          <w:szCs w:val="28"/>
        </w:rPr>
        <w:t>34,3</w:t>
      </w:r>
      <w:r w:rsidRPr="009A21DA">
        <w:rPr>
          <w:rFonts w:ascii="Bookman Old Style" w:hAnsi="Bookman Old Style" w:cs="Times New Roman"/>
          <w:bCs/>
          <w:sz w:val="28"/>
          <w:szCs w:val="28"/>
          <w:lang w:val="x-none"/>
        </w:rPr>
        <w:t xml:space="preserve"> млн.</w:t>
      </w:r>
      <w:r w:rsidRPr="009A21DA">
        <w:rPr>
          <w:rFonts w:ascii="Bookman Old Style" w:hAnsi="Bookman Old Style" w:cs="Times New Roman"/>
          <w:bCs/>
          <w:sz w:val="28"/>
          <w:szCs w:val="28"/>
        </w:rPr>
        <w:t xml:space="preserve"> </w:t>
      </w:r>
      <w:r w:rsidRPr="009A21DA">
        <w:rPr>
          <w:rFonts w:ascii="Bookman Old Style" w:hAnsi="Bookman Old Style" w:cs="Times New Roman"/>
          <w:bCs/>
          <w:sz w:val="28"/>
          <w:szCs w:val="28"/>
          <w:lang w:val="x-none"/>
        </w:rPr>
        <w:t>руб.) и областного (</w:t>
      </w:r>
      <w:r w:rsidRPr="009A21DA">
        <w:rPr>
          <w:rFonts w:ascii="Bookman Old Style" w:hAnsi="Bookman Old Style" w:cs="Times New Roman"/>
          <w:bCs/>
          <w:sz w:val="28"/>
          <w:szCs w:val="28"/>
        </w:rPr>
        <w:t>51,5</w:t>
      </w:r>
      <w:r w:rsidRPr="009A21DA">
        <w:rPr>
          <w:rFonts w:ascii="Bookman Old Style" w:hAnsi="Bookman Old Style" w:cs="Times New Roman"/>
          <w:bCs/>
          <w:sz w:val="28"/>
          <w:szCs w:val="28"/>
          <w:lang w:val="x-none"/>
        </w:rPr>
        <w:t xml:space="preserve"> млн.</w:t>
      </w:r>
      <w:r w:rsidRPr="009A21DA">
        <w:rPr>
          <w:rFonts w:ascii="Bookman Old Style" w:hAnsi="Bookman Old Style" w:cs="Times New Roman"/>
          <w:bCs/>
          <w:sz w:val="28"/>
          <w:szCs w:val="28"/>
        </w:rPr>
        <w:t xml:space="preserve"> </w:t>
      </w:r>
      <w:r w:rsidRPr="009A21DA">
        <w:rPr>
          <w:rFonts w:ascii="Bookman Old Style" w:hAnsi="Bookman Old Style" w:cs="Times New Roman"/>
          <w:bCs/>
          <w:sz w:val="28"/>
          <w:szCs w:val="28"/>
          <w:lang w:val="x-none"/>
        </w:rPr>
        <w:t>руб.) бюджетов по следующим направлениям: на поддержку элитного семеноводства</w:t>
      </w:r>
      <w:r w:rsidRPr="009A21DA">
        <w:rPr>
          <w:rFonts w:ascii="Bookman Old Style" w:hAnsi="Bookman Old Style" w:cs="Times New Roman"/>
          <w:bCs/>
          <w:sz w:val="28"/>
          <w:szCs w:val="28"/>
        </w:rPr>
        <w:t xml:space="preserve"> и оригинальные семена</w:t>
      </w:r>
      <w:r w:rsidRPr="009A21DA">
        <w:rPr>
          <w:rFonts w:ascii="Bookman Old Style" w:hAnsi="Bookman Old Style" w:cs="Times New Roman"/>
          <w:bCs/>
          <w:sz w:val="28"/>
          <w:szCs w:val="28"/>
          <w:lang w:val="x-none"/>
        </w:rPr>
        <w:t xml:space="preserve"> </w:t>
      </w:r>
      <w:r w:rsidRPr="009A21DA">
        <w:rPr>
          <w:rFonts w:ascii="Bookman Old Style" w:hAnsi="Bookman Old Style" w:cs="Times New Roman"/>
          <w:bCs/>
          <w:sz w:val="28"/>
          <w:szCs w:val="28"/>
        </w:rPr>
        <w:t>2,0</w:t>
      </w:r>
      <w:r w:rsidRPr="009A21DA">
        <w:rPr>
          <w:rFonts w:ascii="Bookman Old Style" w:hAnsi="Bookman Old Style" w:cs="Times New Roman"/>
          <w:bCs/>
          <w:sz w:val="28"/>
          <w:szCs w:val="28"/>
          <w:lang w:val="x-none"/>
        </w:rPr>
        <w:t xml:space="preserve"> млн. руб.,</w:t>
      </w:r>
      <w:r w:rsidRPr="009A21DA">
        <w:rPr>
          <w:rFonts w:ascii="Bookman Old Style" w:hAnsi="Bookman Old Style" w:cs="Times New Roman"/>
          <w:bCs/>
          <w:sz w:val="28"/>
          <w:szCs w:val="28"/>
        </w:rPr>
        <w:t xml:space="preserve"> на приобретение семян кукурузы – 0,1 млн. руб., </w:t>
      </w:r>
      <w:r w:rsidRPr="009A21DA">
        <w:rPr>
          <w:rFonts w:ascii="Bookman Old Style" w:hAnsi="Bookman Old Style" w:cs="Times New Roman"/>
          <w:bCs/>
          <w:sz w:val="28"/>
          <w:szCs w:val="28"/>
          <w:lang w:val="x-none"/>
        </w:rPr>
        <w:lastRenderedPageBreak/>
        <w:t>возмещение части затрат на проведение комплекса агротехнологических работ</w:t>
      </w:r>
      <w:r w:rsidRPr="009A21DA">
        <w:rPr>
          <w:rFonts w:ascii="Bookman Old Style" w:hAnsi="Bookman Old Style" w:cs="Times New Roman"/>
          <w:bCs/>
          <w:sz w:val="28"/>
          <w:szCs w:val="28"/>
        </w:rPr>
        <w:t xml:space="preserve"> – 3,2 млн. руб., на прирост валового производства зерновых и зернобобовых культур – 0,8 млн. руб., возмещение части стоимости приобретаемых минеральных удобрений – 16,0 млн. руб., возмещение части стоимости приобретаемых средств защиты растений – 5,9 млн. руб., агрохимическое обследование земель – 1,8 млн. руб., на производство и реализацию зерновых культур – 7,1 млн. руб., на поддержку производства масличных культур (рапса и сои) – 8,5 млн. руб., </w:t>
      </w:r>
      <w:r w:rsidRPr="009A21DA">
        <w:rPr>
          <w:rFonts w:ascii="Bookman Old Style" w:hAnsi="Bookman Old Style" w:cs="Times New Roman"/>
          <w:bCs/>
          <w:sz w:val="28"/>
          <w:szCs w:val="28"/>
          <w:lang w:val="x-none"/>
        </w:rPr>
        <w:t xml:space="preserve">компенсация затрат по приобретению техники и оборудования в сумме </w:t>
      </w:r>
      <w:r w:rsidRPr="009A21DA">
        <w:rPr>
          <w:rFonts w:ascii="Bookman Old Style" w:hAnsi="Bookman Old Style" w:cs="Times New Roman"/>
          <w:bCs/>
          <w:sz w:val="28"/>
          <w:szCs w:val="28"/>
        </w:rPr>
        <w:t>25,7</w:t>
      </w:r>
      <w:r w:rsidRPr="009A21DA">
        <w:rPr>
          <w:rFonts w:ascii="Bookman Old Style" w:hAnsi="Bookman Old Style" w:cs="Times New Roman"/>
          <w:bCs/>
          <w:sz w:val="28"/>
          <w:szCs w:val="28"/>
          <w:lang w:val="x-none"/>
        </w:rPr>
        <w:t xml:space="preserve"> млн.</w:t>
      </w:r>
      <w:r w:rsidRPr="009A21DA">
        <w:rPr>
          <w:rFonts w:ascii="Bookman Old Style" w:hAnsi="Bookman Old Style" w:cs="Times New Roman"/>
          <w:bCs/>
          <w:sz w:val="28"/>
          <w:szCs w:val="28"/>
        </w:rPr>
        <w:t xml:space="preserve"> </w:t>
      </w:r>
      <w:r w:rsidRPr="009A21DA">
        <w:rPr>
          <w:rFonts w:ascii="Bookman Old Style" w:hAnsi="Bookman Old Style" w:cs="Times New Roman"/>
          <w:bCs/>
          <w:sz w:val="28"/>
          <w:szCs w:val="28"/>
          <w:lang w:val="x-none"/>
        </w:rPr>
        <w:t xml:space="preserve">руб., господдержка племенного дела – </w:t>
      </w:r>
      <w:r w:rsidRPr="009A21DA">
        <w:rPr>
          <w:rFonts w:ascii="Bookman Old Style" w:hAnsi="Bookman Old Style" w:cs="Times New Roman"/>
          <w:bCs/>
          <w:sz w:val="28"/>
          <w:szCs w:val="28"/>
        </w:rPr>
        <w:t>0</w:t>
      </w:r>
      <w:r w:rsidRPr="009A21DA">
        <w:rPr>
          <w:rFonts w:ascii="Bookman Old Style" w:hAnsi="Bookman Old Style" w:cs="Times New Roman"/>
          <w:bCs/>
          <w:sz w:val="28"/>
          <w:szCs w:val="28"/>
          <w:lang w:val="x-none"/>
        </w:rPr>
        <w:t>,</w:t>
      </w:r>
      <w:r w:rsidRPr="009A21DA">
        <w:rPr>
          <w:rFonts w:ascii="Bookman Old Style" w:hAnsi="Bookman Old Style" w:cs="Times New Roman"/>
          <w:bCs/>
          <w:sz w:val="28"/>
          <w:szCs w:val="28"/>
        </w:rPr>
        <w:t>2</w:t>
      </w:r>
      <w:r w:rsidRPr="009A21DA">
        <w:rPr>
          <w:rFonts w:ascii="Bookman Old Style" w:hAnsi="Bookman Old Style" w:cs="Times New Roman"/>
          <w:bCs/>
          <w:sz w:val="28"/>
          <w:szCs w:val="28"/>
          <w:lang w:val="x-none"/>
        </w:rPr>
        <w:t xml:space="preserve"> млн. руб., </w:t>
      </w:r>
      <w:r w:rsidRPr="009A21DA">
        <w:rPr>
          <w:rFonts w:ascii="Bookman Old Style" w:hAnsi="Bookman Old Style" w:cs="Times New Roman"/>
          <w:bCs/>
          <w:sz w:val="28"/>
          <w:szCs w:val="28"/>
        </w:rPr>
        <w:t xml:space="preserve"> </w:t>
      </w:r>
      <w:r w:rsidRPr="009A21DA">
        <w:rPr>
          <w:rFonts w:ascii="Bookman Old Style" w:hAnsi="Bookman Old Style" w:cs="Times New Roman"/>
          <w:bCs/>
          <w:sz w:val="28"/>
          <w:szCs w:val="28"/>
          <w:lang w:val="x-none"/>
        </w:rPr>
        <w:t xml:space="preserve">возмещение части затрат на прирост реализованного молока </w:t>
      </w:r>
      <w:r w:rsidRPr="009A21DA">
        <w:rPr>
          <w:rFonts w:ascii="Bookman Old Style" w:hAnsi="Bookman Old Style" w:cs="Times New Roman"/>
          <w:bCs/>
          <w:sz w:val="28"/>
          <w:szCs w:val="28"/>
        </w:rPr>
        <w:t xml:space="preserve">- 1,8 млн. руб., возмещение части затрат на поддержку собственного молока – 2,5 млн. руб., на корма для молочного скота – 0,5 млн. руб., на диагностические исследования по лейкозу – 0,3 млн. руб., </w:t>
      </w:r>
      <w:r w:rsidRPr="009A21DA">
        <w:rPr>
          <w:rFonts w:ascii="Bookman Old Style" w:hAnsi="Bookman Old Style" w:cs="Times New Roman"/>
          <w:bCs/>
          <w:sz w:val="28"/>
          <w:szCs w:val="28"/>
          <w:lang w:val="x-none"/>
        </w:rPr>
        <w:t>государственная поддержка К(Ф)Х, индивидуальным предпринимателям, осуществляющим сельскохозяйственное производство, увеличившим посевные площади по сравнению с предыдущим годом</w:t>
      </w:r>
      <w:r w:rsidRPr="009A21DA">
        <w:rPr>
          <w:rFonts w:ascii="Bookman Old Style" w:hAnsi="Bookman Old Style" w:cs="Times New Roman"/>
          <w:bCs/>
          <w:sz w:val="28"/>
          <w:szCs w:val="28"/>
        </w:rPr>
        <w:t xml:space="preserve"> - 0,6 млн. руб., субсидия на создание системы поддержки фермеров и развитие сельской кооперации (Агростартап) – 5,0 млн. руб., </w:t>
      </w:r>
      <w:r w:rsidRPr="009A21DA">
        <w:rPr>
          <w:rFonts w:ascii="Bookman Old Style" w:hAnsi="Bookman Old Style" w:cs="Times New Roman"/>
          <w:bCs/>
          <w:sz w:val="28"/>
          <w:szCs w:val="28"/>
          <w:lang w:val="x-none"/>
        </w:rPr>
        <w:t>компенсация части затрат на содержание товарного поголовья коров специализированных мясных пород и их помесей</w:t>
      </w:r>
      <w:r w:rsidRPr="009A21DA">
        <w:rPr>
          <w:rFonts w:ascii="Bookman Old Style" w:hAnsi="Bookman Old Style" w:cs="Times New Roman"/>
          <w:bCs/>
          <w:sz w:val="28"/>
          <w:szCs w:val="28"/>
        </w:rPr>
        <w:t xml:space="preserve"> – 0,05 млн.руб., возмещение стоимости приобретенного рыбопосадочного материала – 0,2 млн. руб., </w:t>
      </w:r>
      <w:r w:rsidRPr="009A21DA">
        <w:rPr>
          <w:rFonts w:ascii="Bookman Old Style" w:hAnsi="Bookman Old Style" w:cs="Times New Roman"/>
          <w:bCs/>
          <w:sz w:val="28"/>
          <w:szCs w:val="28"/>
          <w:lang w:val="x-none"/>
        </w:rPr>
        <w:t>возмещение стоимости молодняка крупного рогатого скота,</w:t>
      </w:r>
      <w:bookmarkStart w:id="0" w:name="_GoBack"/>
      <w:bookmarkEnd w:id="0"/>
      <w:r w:rsidRPr="009A21DA">
        <w:rPr>
          <w:rFonts w:ascii="Bookman Old Style" w:hAnsi="Bookman Old Style" w:cs="Times New Roman"/>
          <w:bCs/>
          <w:sz w:val="28"/>
          <w:szCs w:val="28"/>
          <w:lang w:val="x-none"/>
        </w:rPr>
        <w:t xml:space="preserve"> приобретенного личными подсобными хозяйствами – </w:t>
      </w:r>
      <w:r w:rsidRPr="009A21DA">
        <w:rPr>
          <w:rFonts w:ascii="Bookman Old Style" w:hAnsi="Bookman Old Style" w:cs="Times New Roman"/>
          <w:bCs/>
          <w:sz w:val="28"/>
          <w:szCs w:val="28"/>
        </w:rPr>
        <w:t>0</w:t>
      </w:r>
      <w:r w:rsidRPr="009A21DA">
        <w:rPr>
          <w:rFonts w:ascii="Bookman Old Style" w:hAnsi="Bookman Old Style" w:cs="Times New Roman"/>
          <w:bCs/>
          <w:sz w:val="28"/>
          <w:szCs w:val="28"/>
          <w:lang w:val="x-none"/>
        </w:rPr>
        <w:t>,</w:t>
      </w:r>
      <w:r w:rsidRPr="009A21DA">
        <w:rPr>
          <w:rFonts w:ascii="Bookman Old Style" w:hAnsi="Bookman Old Style" w:cs="Times New Roman"/>
          <w:bCs/>
          <w:sz w:val="28"/>
          <w:szCs w:val="28"/>
        </w:rPr>
        <w:t>6</w:t>
      </w:r>
      <w:r w:rsidRPr="009A21DA">
        <w:rPr>
          <w:rFonts w:ascii="Bookman Old Style" w:hAnsi="Bookman Old Style" w:cs="Times New Roman"/>
          <w:bCs/>
          <w:sz w:val="28"/>
          <w:szCs w:val="28"/>
          <w:lang w:val="x-none"/>
        </w:rPr>
        <w:t xml:space="preserve"> млн. руб</w:t>
      </w:r>
      <w:r w:rsidRPr="009A21DA">
        <w:rPr>
          <w:rFonts w:ascii="Bookman Old Style" w:hAnsi="Bookman Old Style" w:cs="Times New Roman"/>
          <w:bCs/>
          <w:sz w:val="28"/>
          <w:szCs w:val="28"/>
        </w:rPr>
        <w:t>., доплата бывшим руководителям – 0,01 млн. руб., обеспечение комплексного развития сельских территорий (благоустройство) – 2,8 млн. руб., премии победителям областных трудовых соревнований – 0,1 млн. рублей.</w:t>
      </w:r>
    </w:p>
    <w:p w:rsidR="0036661A" w:rsidRPr="009A21DA" w:rsidRDefault="0036661A" w:rsidP="009B4C92">
      <w:pPr>
        <w:spacing w:after="0" w:line="276" w:lineRule="auto"/>
        <w:ind w:firstLine="709"/>
        <w:jc w:val="both"/>
        <w:rPr>
          <w:rFonts w:ascii="Bookman Old Style" w:hAnsi="Bookman Old Style" w:cs="Times New Roman"/>
          <w:b/>
          <w:sz w:val="28"/>
          <w:szCs w:val="28"/>
        </w:rPr>
      </w:pPr>
    </w:p>
    <w:p w:rsidR="00DB79F1" w:rsidRPr="009A21DA" w:rsidRDefault="00DB79F1" w:rsidP="009B4C92">
      <w:pPr>
        <w:spacing w:after="0" w:line="276" w:lineRule="auto"/>
        <w:ind w:firstLine="709"/>
        <w:jc w:val="both"/>
        <w:rPr>
          <w:rFonts w:ascii="Bookman Old Style" w:hAnsi="Bookman Old Style" w:cs="Times New Roman"/>
          <w:b/>
          <w:sz w:val="28"/>
          <w:szCs w:val="28"/>
        </w:rPr>
      </w:pPr>
      <w:r w:rsidRPr="009A21DA">
        <w:rPr>
          <w:rFonts w:ascii="Bookman Old Style" w:hAnsi="Bookman Old Style" w:cs="Times New Roman"/>
          <w:b/>
          <w:sz w:val="28"/>
          <w:szCs w:val="28"/>
        </w:rPr>
        <w:t>Промышленность.</w:t>
      </w:r>
    </w:p>
    <w:p w:rsidR="006A19B2" w:rsidRPr="009A21DA" w:rsidRDefault="00E56B03" w:rsidP="00E56B03">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Объем производства промышленной продукции составил 32 млн. рублей, или 103 % к уровню предыдущего года. Кочковский мясокомбинат сработал на уровне прошлого года, рост объемов производства показал хлебокомбинат Кочковского ПТПК. </w:t>
      </w:r>
      <w:r w:rsidRPr="009A21DA">
        <w:rPr>
          <w:rFonts w:ascii="Bookman Old Style" w:hAnsi="Bookman Old Style" w:cs="Times New Roman"/>
          <w:sz w:val="28"/>
          <w:szCs w:val="28"/>
        </w:rPr>
        <w:lastRenderedPageBreak/>
        <w:t>Снижение объемов производства и реализации показали предприниматели, осуществляющие переработку древесины. Снижение спроса на пиломатериалы произошло из-за резкого роста стоимости продукции, т.к. в 2021 году наблюдалось значительное увеличение стоимости сырья – деловой древесины на корню.</w:t>
      </w:r>
    </w:p>
    <w:p w:rsidR="00DB79F1" w:rsidRPr="009A21DA" w:rsidRDefault="00DB79F1" w:rsidP="009B4C92">
      <w:pPr>
        <w:spacing w:after="0" w:line="276" w:lineRule="auto"/>
        <w:jc w:val="both"/>
        <w:rPr>
          <w:rFonts w:ascii="Bookman Old Style" w:hAnsi="Bookman Old Style" w:cs="Times New Roman"/>
          <w:sz w:val="28"/>
          <w:szCs w:val="28"/>
        </w:rPr>
      </w:pPr>
      <w:r w:rsidRPr="009A21DA">
        <w:rPr>
          <w:rFonts w:ascii="Bookman Old Style" w:hAnsi="Bookman Old Style" w:cs="Times New Roman"/>
          <w:noProof/>
          <w:sz w:val="28"/>
          <w:szCs w:val="28"/>
          <w:lang w:eastAsia="ru-RU"/>
        </w:rPr>
        <w:drawing>
          <wp:inline distT="0" distB="0" distL="0" distR="0">
            <wp:extent cx="5932170" cy="2905125"/>
            <wp:effectExtent l="0" t="0" r="1143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79F1" w:rsidRPr="009A21DA" w:rsidRDefault="00DB79F1"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Рисунок 2 – Промышленное производство</w:t>
      </w:r>
      <w:r w:rsidR="0034641A" w:rsidRPr="009A21DA">
        <w:rPr>
          <w:rFonts w:ascii="Bookman Old Style" w:hAnsi="Bookman Old Style" w:cs="Times New Roman"/>
          <w:sz w:val="28"/>
          <w:szCs w:val="28"/>
        </w:rPr>
        <w:t>.</w:t>
      </w:r>
    </w:p>
    <w:p w:rsidR="00DB79F1" w:rsidRPr="009A21DA" w:rsidRDefault="00DB79F1" w:rsidP="009B4C92">
      <w:pPr>
        <w:spacing w:after="0" w:line="276" w:lineRule="auto"/>
        <w:ind w:firstLine="709"/>
        <w:jc w:val="both"/>
        <w:rPr>
          <w:rFonts w:ascii="Bookman Old Style" w:hAnsi="Bookman Old Style" w:cs="Times New Roman"/>
          <w:sz w:val="28"/>
          <w:szCs w:val="28"/>
        </w:rPr>
      </w:pPr>
    </w:p>
    <w:p w:rsidR="00EF5538" w:rsidRPr="009A21DA" w:rsidRDefault="00EF5538" w:rsidP="009B4C92">
      <w:pPr>
        <w:spacing w:after="0" w:line="276" w:lineRule="auto"/>
        <w:ind w:firstLine="709"/>
        <w:jc w:val="both"/>
        <w:rPr>
          <w:rFonts w:ascii="Bookman Old Style" w:hAnsi="Bookman Old Style" w:cs="Times New Roman"/>
          <w:b/>
          <w:sz w:val="28"/>
          <w:szCs w:val="28"/>
        </w:rPr>
      </w:pPr>
      <w:r w:rsidRPr="009A21DA">
        <w:rPr>
          <w:rFonts w:ascii="Bookman Old Style" w:hAnsi="Bookman Old Style" w:cs="Times New Roman"/>
          <w:b/>
          <w:sz w:val="28"/>
          <w:szCs w:val="28"/>
        </w:rPr>
        <w:t>Малое и среднее предпринимательство</w:t>
      </w:r>
    </w:p>
    <w:p w:rsidR="00911066" w:rsidRPr="009A21DA" w:rsidRDefault="00911066" w:rsidP="00911066">
      <w:pPr>
        <w:spacing w:after="0" w:line="276" w:lineRule="auto"/>
        <w:ind w:firstLine="709"/>
        <w:jc w:val="both"/>
        <w:rPr>
          <w:rFonts w:ascii="Bookman Old Style" w:hAnsi="Bookman Old Style" w:cs="Times New Roman"/>
          <w:bCs/>
          <w:sz w:val="28"/>
          <w:szCs w:val="28"/>
        </w:rPr>
      </w:pPr>
      <w:bookmarkStart w:id="1" w:name="_Hlk507659485"/>
      <w:r w:rsidRPr="009A21DA">
        <w:rPr>
          <w:rFonts w:ascii="Bookman Old Style" w:hAnsi="Bookman Old Style" w:cs="Times New Roman"/>
          <w:bCs/>
          <w:sz w:val="28"/>
          <w:szCs w:val="28"/>
        </w:rPr>
        <w:t>Потребительский рынок Кочковского района представлен 141 объектами торговли и 26 объектами общественного питания.</w:t>
      </w:r>
    </w:p>
    <w:p w:rsidR="00911066" w:rsidRPr="009A21DA" w:rsidRDefault="00911066" w:rsidP="00911066">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t xml:space="preserve">Торговое обслуживание населения через стационарную торговую сеть производится практически в 13 населенных пунктах района. В 11 населенных пунктах действуют магазины потребительской кооперации. </w:t>
      </w:r>
    </w:p>
    <w:p w:rsidR="00911066" w:rsidRPr="009A21DA" w:rsidRDefault="00911066" w:rsidP="00911066">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t xml:space="preserve">Удельный вес магазинов потребительского общества составляет 17 % от общего количества предприятий торговли. </w:t>
      </w:r>
    </w:p>
    <w:p w:rsidR="00911066" w:rsidRPr="009A21DA" w:rsidRDefault="00911066" w:rsidP="00911066">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t>Объем оборота торговли за 2021 год в целом по району составил 1054 млн. рублей, к соответствующему периоду прошлого года 102,2 % в сопоставимых ценах. На душу населения приходится 80631,2 руб., что на 8 % выше уровня прошлого года.</w:t>
      </w:r>
    </w:p>
    <w:p w:rsidR="00911066" w:rsidRPr="009A21DA" w:rsidRDefault="00911066" w:rsidP="00911066">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t>Объем продаж потребительской кооперации, включая общественное питание, составил 195,2 млн. рублей (18,6 % от общего оборота торговли района).</w:t>
      </w:r>
    </w:p>
    <w:p w:rsidR="00911066" w:rsidRPr="009A21DA" w:rsidRDefault="00911066" w:rsidP="00911066">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lastRenderedPageBreak/>
        <w:t>В отчетном году на территории района открылось 14 магазинов. В с. Кочки – 12 магазинов, а именно: мебельный магазин, магазин автозапчастей, магазин, специализирующийся на продаже мяса «Мой мясной», магазин по продаже бытовой техники, магазин «Хмельная бочка». По одному магазину было открыто в с. Жуланка, и в с. Черновка.</w:t>
      </w:r>
    </w:p>
    <w:p w:rsidR="00911066" w:rsidRPr="009A21DA" w:rsidRDefault="00911066" w:rsidP="00911066">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t>Также в 2021 году были открыты 4 павильона - "Клевое место", салон «Воздушный пион», салоны связи «ДИКСИС», «ТЕЛЕ2», три объекта общественного питания: кафе "Транзит", кафе "Sova", закусочная "Любава"</w:t>
      </w:r>
    </w:p>
    <w:p w:rsidR="00911066" w:rsidRPr="009A21DA" w:rsidRDefault="00911066" w:rsidP="00911066">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t>Общий объем платных услуг составил 132,5 млн. рублей. В том числе оказано бытовых услуг населению на сумму 9,07 млн. рублей.</w:t>
      </w:r>
      <w:bookmarkEnd w:id="1"/>
    </w:p>
    <w:p w:rsidR="00911066" w:rsidRPr="009A21DA" w:rsidRDefault="00911066" w:rsidP="00911066">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t>На 01.01.2022 на территории района насчитывается 329 субъектов малого бизнеса. В этой сфере занято около 1,48 тыс. человек. Наибольший удельный вес в структуре направлений малого предпринимательства занимают предприятия торговли – 29 %, отрасль частных грузовых и пассажирских перевозок занимает 22 % от общего количества субъектов бизнеса, 19 % занято производством продукции сельского хозяйства, предоставлением услуг занимается 9 %.</w:t>
      </w:r>
    </w:p>
    <w:p w:rsidR="00911066" w:rsidRPr="009A21DA" w:rsidRDefault="00911066" w:rsidP="00911066">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t>В 2021 году субъекты малого предпринимательства пользовались инструментами государственной поддержки, оказываемыми Фондом развития малого и среднего предпринимательства Новосибирской области и Фондом микрофинансирования НСО. Субъектам МСП, осуществляющим деятельность на территории района, были предоставлены банковские гарантии, позволившие привлечь 10 млн. рублей, а также получены три займа на сумму 6,5 млн. рублей по льготной ставке 7,5 % годовых.</w:t>
      </w:r>
    </w:p>
    <w:p w:rsidR="00911066" w:rsidRPr="009A21DA" w:rsidRDefault="00911066" w:rsidP="00911066">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t xml:space="preserve">В 2021 году Центром занятости населения проводился конкурс на оказание финансовой поддержки гражданам, состоящим на учете в качестве безработных, для организации собственного бизнеса. В результате рассмотрения заявок финансовая поддержка оказана семи безработным гражданам. </w:t>
      </w:r>
    </w:p>
    <w:p w:rsidR="00911066" w:rsidRPr="009A21DA" w:rsidRDefault="00911066" w:rsidP="00911066">
      <w:pPr>
        <w:spacing w:after="0" w:line="276" w:lineRule="auto"/>
        <w:ind w:firstLine="709"/>
        <w:jc w:val="both"/>
        <w:rPr>
          <w:rFonts w:ascii="Bookman Old Style" w:hAnsi="Bookman Old Style" w:cs="Times New Roman"/>
          <w:bCs/>
          <w:sz w:val="28"/>
          <w:szCs w:val="28"/>
        </w:rPr>
      </w:pPr>
      <w:r w:rsidRPr="009A21DA">
        <w:rPr>
          <w:rFonts w:ascii="Bookman Old Style" w:hAnsi="Bookman Old Style" w:cs="Times New Roman"/>
          <w:bCs/>
          <w:sz w:val="28"/>
          <w:szCs w:val="28"/>
        </w:rPr>
        <w:t xml:space="preserve">Кроме этого, органами социальной защиты предоставлены субсидии в форме социального контракта гражданам с низким </w:t>
      </w:r>
      <w:r w:rsidRPr="009A21DA">
        <w:rPr>
          <w:rFonts w:ascii="Bookman Old Style" w:hAnsi="Bookman Old Style" w:cs="Times New Roman"/>
          <w:bCs/>
          <w:sz w:val="28"/>
          <w:szCs w:val="28"/>
        </w:rPr>
        <w:lastRenderedPageBreak/>
        <w:t>уровнем дохода на организацию собственного дела. Воспользовались такой поддержкой 21 человек. В настоящее время все граждане, получившие поддержку, встали на учет в налоговых органах.</w:t>
      </w:r>
    </w:p>
    <w:p w:rsidR="009F7311" w:rsidRPr="009A21DA" w:rsidRDefault="009F7311" w:rsidP="002055F2">
      <w:pPr>
        <w:spacing w:after="0" w:line="276" w:lineRule="auto"/>
        <w:ind w:firstLine="709"/>
        <w:jc w:val="both"/>
        <w:rPr>
          <w:rFonts w:ascii="Bookman Old Style" w:hAnsi="Bookman Old Style" w:cs="Times New Roman"/>
          <w:bCs/>
          <w:sz w:val="28"/>
          <w:szCs w:val="28"/>
        </w:rPr>
      </w:pPr>
    </w:p>
    <w:p w:rsidR="00AB31ED" w:rsidRPr="009A21DA" w:rsidRDefault="00AB31ED" w:rsidP="009B4C92">
      <w:pPr>
        <w:spacing w:after="0" w:line="276" w:lineRule="auto"/>
        <w:ind w:firstLine="709"/>
        <w:jc w:val="both"/>
        <w:rPr>
          <w:rFonts w:ascii="Bookman Old Style" w:hAnsi="Bookman Old Style" w:cs="Times New Roman"/>
          <w:b/>
          <w:sz w:val="28"/>
          <w:szCs w:val="28"/>
        </w:rPr>
      </w:pPr>
      <w:r w:rsidRPr="009A21DA">
        <w:rPr>
          <w:rFonts w:ascii="Bookman Old Style" w:hAnsi="Bookman Old Style" w:cs="Times New Roman"/>
          <w:b/>
          <w:sz w:val="28"/>
          <w:szCs w:val="28"/>
        </w:rPr>
        <w:t>Строительство и инвестиции</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 xml:space="preserve">На развитие экономики района за 2021 инвестировано 895,6 млн. рублей (184,3% к уровню 2020 года).   </w:t>
      </w:r>
    </w:p>
    <w:p w:rsidR="00470174" w:rsidRPr="009A21DA" w:rsidRDefault="0035022A" w:rsidP="00470174">
      <w:pPr>
        <w:spacing w:after="0" w:line="276" w:lineRule="auto"/>
        <w:ind w:firstLine="709"/>
        <w:jc w:val="both"/>
        <w:rPr>
          <w:rFonts w:ascii="Bookman Old Style" w:hAnsi="Bookman Old Style" w:cs="Times New Roman"/>
          <w:bCs/>
          <w:iCs/>
          <w:sz w:val="28"/>
          <w:szCs w:val="28"/>
        </w:rPr>
      </w:pPr>
      <w:r w:rsidRPr="009A21DA">
        <w:rPr>
          <w:rFonts w:ascii="Times New Roman" w:hAnsi="Times New Roman" w:cs="Times New Roman"/>
          <w:noProof/>
          <w:sz w:val="24"/>
          <w:szCs w:val="24"/>
          <w:lang w:eastAsia="ru-RU"/>
        </w:rPr>
        <mc:AlternateContent>
          <mc:Choice Requires="wps">
            <w:drawing>
              <wp:anchor distT="91440" distB="91440" distL="228600" distR="91440" simplePos="0" relativeHeight="251659264" behindDoc="0" locked="0" layoutInCell="0" allowOverlap="1" wp14:anchorId="377F0647" wp14:editId="1F2099E0">
                <wp:simplePos x="0" y="0"/>
                <wp:positionH relativeFrom="margin">
                  <wp:posOffset>3553073</wp:posOffset>
                </wp:positionH>
                <wp:positionV relativeFrom="margin">
                  <wp:posOffset>2753360</wp:posOffset>
                </wp:positionV>
                <wp:extent cx="2903220" cy="1200150"/>
                <wp:effectExtent l="0" t="0" r="0" b="0"/>
                <wp:wrapSquare wrapText="bothSides"/>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120015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AB31ED" w:rsidRPr="00736111" w:rsidRDefault="00AB31ED" w:rsidP="004D550E">
                            <w:pPr>
                              <w:pBdr>
                                <w:top w:val="single" w:sz="4" w:space="7"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736111">
                              <w:rPr>
                                <w:rFonts w:ascii="Bookman Old Style" w:hAnsi="Bookman Old Style"/>
                                <w:i/>
                                <w:iCs/>
                                <w:color w:val="FFFFFF" w:themeColor="background1"/>
                                <w:sz w:val="28"/>
                                <w:szCs w:val="28"/>
                              </w:rPr>
                              <w:t xml:space="preserve">Общий объем инвестиций составил </w:t>
                            </w:r>
                            <w:r w:rsidR="00470174">
                              <w:rPr>
                                <w:rFonts w:ascii="Bookman Old Style" w:hAnsi="Bookman Old Style"/>
                                <w:i/>
                                <w:iCs/>
                                <w:color w:val="FFFFFF" w:themeColor="background1"/>
                                <w:sz w:val="28"/>
                                <w:szCs w:val="28"/>
                              </w:rPr>
                              <w:t>895</w:t>
                            </w:r>
                            <w:r w:rsidRPr="00736111">
                              <w:rPr>
                                <w:rFonts w:ascii="Bookman Old Style" w:hAnsi="Bookman Old Style"/>
                                <w:i/>
                                <w:iCs/>
                                <w:color w:val="FFFFFF" w:themeColor="background1"/>
                                <w:sz w:val="28"/>
                                <w:szCs w:val="28"/>
                              </w:rPr>
                              <w:t xml:space="preserve"> млн. рублей</w:t>
                            </w:r>
                          </w:p>
                          <w:p w:rsidR="00AB31ED" w:rsidRDefault="00AB31ED" w:rsidP="00AB31ED">
                            <w:pPr>
                              <w:rPr>
                                <w:i/>
                                <w:iCs/>
                                <w:color w:val="FFFFFF" w:themeColor="background1"/>
                                <w:sz w:val="28"/>
                                <w:szCs w:val="28"/>
                              </w:rPr>
                            </w:pPr>
                          </w:p>
                        </w:txbxContent>
                      </wps:txbx>
                      <wps:bodyPr rot="0" vert="horz" wrap="square" lIns="210312" tIns="91440" rIns="210312" bIns="91440" anchor="ctr" anchorCtr="0" upright="1">
                        <a:noAutofit/>
                      </wps:bodyPr>
                    </wps:wsp>
                  </a:graphicData>
                </a:graphic>
                <wp14:sizeRelH relativeFrom="margin">
                  <wp14:pctWidth>40000</wp14:pctWidth>
                </wp14:sizeRelH>
                <wp14:sizeRelV relativeFrom="margin">
                  <wp14:pctHeight>0</wp14:pctHeight>
                </wp14:sizeRelV>
              </wp:anchor>
            </w:drawing>
          </mc:Choice>
          <mc:Fallback>
            <w:pict>
              <v:rect w14:anchorId="377F0647" id="Прямоугольник 6" o:spid="_x0000_s1026" style="position:absolute;left:0;text-align:left;margin-left:279.75pt;margin-top:216.8pt;width:228.6pt;height:94.5pt;z-index:251659264;visibility:visible;mso-wrap-style:square;mso-width-percent:400;mso-height-percent:0;mso-wrap-distance-left:18pt;mso-wrap-distance-top:7.2pt;mso-wrap-distance-right:7.2pt;mso-wrap-distance-bottom:7.2pt;mso-position-horizontal:absolute;mso-position-horizontal-relative:margin;mso-position-vertical:absolute;mso-position-vertical-relative:margin;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" o:allowincell="f" filled="f" stroked="f">
                <v:textbox inset="16.56pt,7.2pt,16.56pt,7.2pt">
                  <w:txbxContent>
                    <w:p w:rsidR="00AB31ED" w:rsidRPr="00736111" w:rsidRDefault="00AB31ED" w:rsidP="004D550E">
                      <w:pPr>
                        <w:pBdr>
                          <w:top w:val="single" w:sz="4" w:space="7"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736111">
                        <w:rPr>
                          <w:rFonts w:ascii="Bookman Old Style" w:hAnsi="Bookman Old Style"/>
                          <w:i/>
                          <w:iCs/>
                          <w:color w:val="FFFFFF" w:themeColor="background1"/>
                          <w:sz w:val="28"/>
                          <w:szCs w:val="28"/>
                        </w:rPr>
                        <w:t xml:space="preserve">Общий объем инвестиций составил </w:t>
                      </w:r>
                      <w:r w:rsidR="00470174">
                        <w:rPr>
                          <w:rFonts w:ascii="Bookman Old Style" w:hAnsi="Bookman Old Style"/>
                          <w:i/>
                          <w:iCs/>
                          <w:color w:val="FFFFFF" w:themeColor="background1"/>
                          <w:sz w:val="28"/>
                          <w:szCs w:val="28"/>
                        </w:rPr>
                        <w:t>895</w:t>
                      </w:r>
                      <w:r w:rsidRPr="00736111">
                        <w:rPr>
                          <w:rFonts w:ascii="Bookman Old Style" w:hAnsi="Bookman Old Style"/>
                          <w:i/>
                          <w:iCs/>
                          <w:color w:val="FFFFFF" w:themeColor="background1"/>
                          <w:sz w:val="28"/>
                          <w:szCs w:val="28"/>
                        </w:rPr>
                        <w:t xml:space="preserve"> млн. рублей</w:t>
                      </w:r>
                    </w:p>
                    <w:p w:rsidR="00AB31ED" w:rsidRDefault="00AB31ED" w:rsidP="00AB31ED">
                      <w:pPr>
                        <w:rPr>
                          <w:i/>
                          <w:iCs/>
                          <w:color w:val="FFFFFF" w:themeColor="background1"/>
                          <w:sz w:val="28"/>
                          <w:szCs w:val="28"/>
                        </w:rPr>
                      </w:pPr>
                    </w:p>
                  </w:txbxContent>
                </v:textbox>
                <w10:wrap type="square" anchorx="margin" anchory="margin"/>
              </v:rect>
            </w:pict>
          </mc:Fallback>
        </mc:AlternateContent>
      </w:r>
      <w:r w:rsidR="00470174" w:rsidRPr="009A21DA">
        <w:rPr>
          <w:rFonts w:ascii="Bookman Old Style" w:hAnsi="Bookman Old Style" w:cs="Times New Roman"/>
          <w:bCs/>
          <w:iCs/>
          <w:sz w:val="28"/>
          <w:szCs w:val="28"/>
        </w:rPr>
        <w:t xml:space="preserve">648 млн. рублей вложено в развитие сельского хозяйства, в т. ч. 25,7 млн. рублей из бюджетов всех уровней. Сельхозтоваропроизводителями приобретено техники и оборудования на 483 млн. рублей. </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В рамках реализации НП «Демография» на сумму почти 20 млн. рублей приобретено спортивное оборудование для оснащения физкультурно-оздоровительного комплекса открытого типа по проекту «Спорт-норма жизни».</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В рамках реализации НП «Жильё и городская среда» в селе Кочки реализуются мероприятия федерального проекта «Формирование комфортной городской среды». В 2021 году 2,4 млн. рублей освоено на благоустройство дворовой территории многоквартирного дома.</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 xml:space="preserve">Национальный проект «Образование» реализован в двух направлениях: </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1. на базе Новоцелинной школы открыт центр естественно-научного и технологического образования «Точка роста», сумма затрат на его создание составила 3,2 млн. рублей.</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2. в рамках регионального проекта «Успех каждого ребенка» на базе 5 образовательных организаций создано 1950 новых мест дополнительного образования детей. Учреждения обеспечены необходимым оборудованием на сумму более 11 млн. рублей. Реализация проекта способствовала увеличению на территории района реализуемых дополнительных обшеобразовательных программ до 62-ух: 11 технической,11 социально-гуманитарной, 10 – естественнонаучной, 12  - физкультурно-спортивной, 18– художественной направленностей.</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lastRenderedPageBreak/>
        <w:t>В рамках реализации НП «Цифровая экономика РФ» в поселке Новые Решеты введена базовая станция передвижной радиотелефонной связи для обеспечения жителей высокоскоростным интернетом. Общая сумма затрат бюджета на это мероприятие составила 2,1 миллиона рублей.</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Помимо участия в реализации национальных проектов в рамках полномочий муниципальных образований бюджетные инвестиции вложены и в другие объекты.</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По программе комплексного развития сельских территорий построено 65 контейнерных площадок для сбора мусора на сумму – 3,9 млн. рублей. Это еще один значительный вклад в повышение благоустройства наших сел.</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Среди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 замена 72-х старых деревянных окон на окна ПВХ в Черновской и Троицкой школах и Черновском детском саду на общую сумму 4,3 млн. рублей.  Еще в 6-ти муниципальных учреждениях района проведены ремонтные работы на сумму более 2,5 млн. рублей. Оперативно удалось восстановить кровлю Троицкой школы, пострадавшей в результате ураганного ветра.</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По государственной программе Новосибирской области «Культура Новосибирской области» начат капитальный ремонт дома культуры в с.Решеты. В 2021 году на эти цели потрачено более 15 млн.рублей.</w:t>
      </w:r>
    </w:p>
    <w:p w:rsidR="00470174"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Проведен частичный ремонт отделения милосердия в с.Решеты на сумму 1,7 млн. рублей.</w:t>
      </w:r>
    </w:p>
    <w:p w:rsidR="009F7311" w:rsidRPr="009A21DA" w:rsidRDefault="00470174" w:rsidP="00470174">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Для улучшения жилищных условий детей-сирот и детей, оставшихся без попечения родителей, а также многодетных семей приобретены, соответственно, 1 квартира и 2 индивидуальных жилых дома на общую сумму 5,0 миллионов рублей.</w:t>
      </w:r>
    </w:p>
    <w:p w:rsidR="004D550E" w:rsidRPr="009A21DA" w:rsidRDefault="004D550E" w:rsidP="009B4C92">
      <w:pPr>
        <w:spacing w:after="0" w:line="276" w:lineRule="auto"/>
        <w:ind w:firstLine="709"/>
        <w:jc w:val="both"/>
        <w:rPr>
          <w:rFonts w:ascii="Bookman Old Style" w:hAnsi="Bookman Old Style" w:cs="Times New Roman"/>
          <w:sz w:val="28"/>
          <w:szCs w:val="28"/>
        </w:rPr>
      </w:pPr>
    </w:p>
    <w:p w:rsidR="00991F0E" w:rsidRPr="009A21DA" w:rsidRDefault="00991F0E" w:rsidP="009B4C92">
      <w:pPr>
        <w:spacing w:after="0" w:line="276" w:lineRule="auto"/>
        <w:ind w:firstLine="709"/>
        <w:jc w:val="both"/>
        <w:rPr>
          <w:rFonts w:ascii="Bookman Old Style" w:hAnsi="Bookman Old Style" w:cs="Times New Roman"/>
          <w:b/>
          <w:sz w:val="28"/>
          <w:szCs w:val="28"/>
        </w:rPr>
      </w:pPr>
    </w:p>
    <w:p w:rsidR="00991F0E" w:rsidRPr="009A21DA" w:rsidRDefault="00991F0E" w:rsidP="009B4C92">
      <w:pPr>
        <w:spacing w:after="0" w:line="276" w:lineRule="auto"/>
        <w:ind w:firstLine="709"/>
        <w:jc w:val="both"/>
        <w:rPr>
          <w:rFonts w:ascii="Bookman Old Style" w:hAnsi="Bookman Old Style" w:cs="Times New Roman"/>
          <w:b/>
          <w:sz w:val="28"/>
          <w:szCs w:val="28"/>
        </w:rPr>
      </w:pPr>
    </w:p>
    <w:p w:rsidR="0086013D" w:rsidRPr="009A21DA" w:rsidRDefault="0086013D" w:rsidP="009B4C92">
      <w:pPr>
        <w:spacing w:after="0" w:line="276" w:lineRule="auto"/>
        <w:ind w:firstLine="709"/>
        <w:jc w:val="both"/>
        <w:rPr>
          <w:rFonts w:ascii="Bookman Old Style" w:hAnsi="Bookman Old Style" w:cs="Times New Roman"/>
          <w:b/>
          <w:sz w:val="28"/>
          <w:szCs w:val="28"/>
        </w:rPr>
      </w:pPr>
      <w:r w:rsidRPr="009A21DA">
        <w:rPr>
          <w:rFonts w:ascii="Bookman Old Style" w:hAnsi="Bookman Old Style" w:cs="Times New Roman"/>
          <w:b/>
          <w:sz w:val="28"/>
          <w:szCs w:val="28"/>
        </w:rPr>
        <w:lastRenderedPageBreak/>
        <w:t>Доходы населения</w:t>
      </w:r>
    </w:p>
    <w:p w:rsidR="001B54FD" w:rsidRPr="009A21DA" w:rsidRDefault="001B54FD" w:rsidP="001B54FD">
      <w:pPr>
        <w:spacing w:after="0" w:line="276" w:lineRule="auto"/>
        <w:ind w:firstLine="709"/>
        <w:jc w:val="both"/>
        <w:rPr>
          <w:rFonts w:ascii="Bookman Old Style" w:hAnsi="Bookman Old Style" w:cs="Times New Roman"/>
          <w:noProof/>
          <w:sz w:val="28"/>
          <w:szCs w:val="28"/>
          <w:lang w:eastAsia="ru-RU"/>
        </w:rPr>
      </w:pPr>
      <w:r w:rsidRPr="009A21DA">
        <w:rPr>
          <w:rFonts w:ascii="Bookman Old Style" w:hAnsi="Bookman Old Style" w:cs="Times New Roman"/>
          <w:noProof/>
          <w:sz w:val="28"/>
          <w:szCs w:val="28"/>
          <w:lang w:eastAsia="ru-RU"/>
        </w:rPr>
        <w:t>В экономике занято 3600 человек, из них 700 человек занято в сельском хозяйстве.</w:t>
      </w:r>
    </w:p>
    <w:p w:rsidR="001B54FD" w:rsidRPr="009A21DA" w:rsidRDefault="001B54FD" w:rsidP="001B54FD">
      <w:pPr>
        <w:spacing w:after="0" w:line="276" w:lineRule="auto"/>
        <w:ind w:firstLine="709"/>
        <w:jc w:val="both"/>
        <w:rPr>
          <w:rFonts w:ascii="Bookman Old Style" w:hAnsi="Bookman Old Style" w:cs="Times New Roman"/>
          <w:bCs/>
          <w:noProof/>
          <w:sz w:val="28"/>
          <w:szCs w:val="28"/>
          <w:lang w:eastAsia="ru-RU"/>
        </w:rPr>
      </w:pPr>
      <w:r w:rsidRPr="009A21DA">
        <w:rPr>
          <w:rFonts w:ascii="Bookman Old Style" w:hAnsi="Bookman Old Style" w:cs="Times New Roman"/>
          <w:bCs/>
          <w:noProof/>
          <w:sz w:val="28"/>
          <w:szCs w:val="28"/>
          <w:lang w:eastAsia="ru-RU"/>
        </w:rPr>
        <w:t xml:space="preserve">На 31 декабря 2021 года в районе числится 4615 пенсионеров против 4749 пенсионеров в 2020 году. </w:t>
      </w:r>
    </w:p>
    <w:p w:rsidR="001B54FD" w:rsidRPr="009A21DA" w:rsidRDefault="001B54FD" w:rsidP="001B54FD">
      <w:pPr>
        <w:spacing w:after="0" w:line="276" w:lineRule="auto"/>
        <w:ind w:firstLine="709"/>
        <w:jc w:val="both"/>
        <w:rPr>
          <w:rFonts w:ascii="Bookman Old Style" w:hAnsi="Bookman Old Style" w:cs="Times New Roman"/>
          <w:bCs/>
          <w:noProof/>
          <w:sz w:val="28"/>
          <w:szCs w:val="28"/>
          <w:lang w:eastAsia="ru-RU"/>
        </w:rPr>
      </w:pPr>
      <w:r w:rsidRPr="009A21DA">
        <w:rPr>
          <w:rFonts w:ascii="Bookman Old Style" w:hAnsi="Bookman Old Style" w:cs="Times New Roman"/>
          <w:bCs/>
          <w:noProof/>
          <w:sz w:val="28"/>
          <w:szCs w:val="28"/>
          <w:lang w:eastAsia="ru-RU"/>
        </w:rPr>
        <w:t>Уровень безработицы на конец года составил 5,2 %, что ниже уровня прошлого года на 1,2 процентных пункта.</w:t>
      </w:r>
    </w:p>
    <w:p w:rsidR="001B54FD" w:rsidRPr="009A21DA" w:rsidRDefault="001B54FD" w:rsidP="001B54FD">
      <w:pPr>
        <w:spacing w:after="0" w:line="276" w:lineRule="auto"/>
        <w:ind w:firstLine="709"/>
        <w:jc w:val="both"/>
        <w:rPr>
          <w:rFonts w:ascii="Bookman Old Style" w:hAnsi="Bookman Old Style" w:cs="Times New Roman"/>
          <w:bCs/>
          <w:noProof/>
          <w:sz w:val="28"/>
          <w:szCs w:val="28"/>
          <w:lang w:eastAsia="ru-RU"/>
        </w:rPr>
      </w:pPr>
      <w:r w:rsidRPr="009A21DA">
        <w:rPr>
          <w:rFonts w:ascii="Bookman Old Style" w:hAnsi="Bookman Old Style" w:cs="Times New Roman"/>
          <w:bCs/>
          <w:noProof/>
          <w:sz w:val="28"/>
          <w:szCs w:val="28"/>
          <w:lang w:eastAsia="ru-RU"/>
        </w:rPr>
        <w:t>Не смотря на тяжелую экономическую ситуацию в сфере производства, уровень заработной платы вырос на 9 %. Рост обусловлен, в первую очередь, увеличением уровня минимального размера оплаты труда работников, а также индексацией заработной платы на уровень инфляции.</w:t>
      </w:r>
    </w:p>
    <w:p w:rsidR="001B54FD" w:rsidRPr="009A21DA" w:rsidRDefault="001B54FD" w:rsidP="001B54FD">
      <w:pPr>
        <w:spacing w:after="0" w:line="276" w:lineRule="auto"/>
        <w:ind w:firstLine="709"/>
        <w:jc w:val="both"/>
        <w:rPr>
          <w:rFonts w:ascii="Bookman Old Style" w:hAnsi="Bookman Old Style" w:cs="Times New Roman"/>
          <w:bCs/>
          <w:noProof/>
          <w:sz w:val="28"/>
          <w:szCs w:val="28"/>
          <w:lang w:eastAsia="ru-RU"/>
        </w:rPr>
      </w:pPr>
      <w:r w:rsidRPr="009A21DA">
        <w:rPr>
          <w:rFonts w:ascii="Bookman Old Style" w:hAnsi="Bookman Old Style" w:cs="Times New Roman"/>
          <w:bCs/>
          <w:noProof/>
          <w:sz w:val="28"/>
          <w:szCs w:val="28"/>
          <w:lang w:eastAsia="ru-RU"/>
        </w:rPr>
        <w:t>Выше уровня прошлого года сложился среднедушевой доход населения и составил 18558 рублей (рост – 8,4 %).</w:t>
      </w:r>
    </w:p>
    <w:p w:rsidR="00E406C7" w:rsidRPr="009A21DA" w:rsidRDefault="00E406C7" w:rsidP="009B4C92">
      <w:pPr>
        <w:spacing w:after="0" w:line="276" w:lineRule="auto"/>
        <w:ind w:firstLine="709"/>
        <w:jc w:val="both"/>
        <w:rPr>
          <w:rFonts w:ascii="Bookman Old Style" w:hAnsi="Bookman Old Style" w:cs="Times New Roman"/>
          <w:sz w:val="28"/>
          <w:szCs w:val="28"/>
        </w:rPr>
      </w:pPr>
    </w:p>
    <w:p w:rsidR="00A72A7E" w:rsidRPr="009A21DA" w:rsidRDefault="00A72A7E" w:rsidP="009B4C92">
      <w:pPr>
        <w:spacing w:after="0" w:line="276" w:lineRule="auto"/>
        <w:ind w:firstLine="709"/>
        <w:jc w:val="both"/>
        <w:rPr>
          <w:rFonts w:ascii="Bookman Old Style" w:hAnsi="Bookman Old Style" w:cs="Times New Roman"/>
          <w:b/>
          <w:sz w:val="28"/>
          <w:szCs w:val="28"/>
        </w:rPr>
      </w:pPr>
      <w:r w:rsidRPr="009A21DA">
        <w:rPr>
          <w:rFonts w:ascii="Bookman Old Style" w:hAnsi="Bookman Old Style" w:cs="Times New Roman"/>
          <w:b/>
          <w:sz w:val="28"/>
          <w:szCs w:val="28"/>
        </w:rPr>
        <w:t>Дорожное хозяйство и транспорт</w:t>
      </w:r>
    </w:p>
    <w:p w:rsidR="00A72A7E" w:rsidRPr="009A21DA" w:rsidRDefault="00A72A7E"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Не смотря на отсутствие железной дороги, авиационного и речного транспортного сообщения Кочковский район характеризуется высокой транспортной доступностью. Это связано с пересечением территории района автодорогой Новосибирск-Павлодар, по которой осуществляется транспортное сообщение с Новосибирском. </w:t>
      </w:r>
    </w:p>
    <w:p w:rsidR="00A72A7E" w:rsidRPr="009A21DA" w:rsidRDefault="00A72A7E"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Транспортная инфраструктура района представлена сетью автомобильных дорог протяженностью 438,7 км, в том числе 269,7 км дорог с твердым покрытием.</w:t>
      </w:r>
    </w:p>
    <w:p w:rsidR="006E2F77" w:rsidRPr="009A21DA" w:rsidRDefault="006E2F77" w:rsidP="006E2F77">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В рамках реализации НП «Безопасные и качественные автомобильные дороги» произведено дооборудование 7-ми пешеходных переходов вблизи образовательных организаций.</w:t>
      </w:r>
    </w:p>
    <w:p w:rsidR="006E2F77" w:rsidRPr="009A21DA" w:rsidRDefault="006E2F77" w:rsidP="006E2F77">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103,8 млн. рублей направлено в дорожную отрасль, в т.ч. 52,7 млн. рублей на ремонт региональных дорог ТУАД, проходящих по территории района. Отремонтировано более 12 км дорог в 10 населенных пунктах района.  Разработана Комплексная схема организации дорожного движения Кочковского района и Проекты организации дорожного движения по каждому сельсовету.</w:t>
      </w:r>
    </w:p>
    <w:p w:rsidR="001C08A1" w:rsidRPr="009A21DA" w:rsidRDefault="00A72A7E"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Все населенные пункты района имеют транспортное сообщение с районным и областным центром по дорогам с </w:t>
      </w:r>
      <w:r w:rsidRPr="009A21DA">
        <w:rPr>
          <w:rFonts w:ascii="Bookman Old Style" w:hAnsi="Bookman Old Style" w:cs="Times New Roman"/>
          <w:sz w:val="28"/>
          <w:szCs w:val="28"/>
        </w:rPr>
        <w:lastRenderedPageBreak/>
        <w:t>твердым покрытием. Воспользоваться регулярным автобусным сообщением имеет возможность 99,</w:t>
      </w:r>
      <w:r w:rsidR="00ED2C1C" w:rsidRPr="009A21DA">
        <w:rPr>
          <w:rFonts w:ascii="Bookman Old Style" w:hAnsi="Bookman Old Style" w:cs="Times New Roman"/>
          <w:sz w:val="28"/>
          <w:szCs w:val="28"/>
        </w:rPr>
        <w:t>9</w:t>
      </w:r>
      <w:r w:rsidR="00AC4CC5" w:rsidRPr="009A21DA">
        <w:rPr>
          <w:rFonts w:ascii="Bookman Old Style" w:hAnsi="Bookman Old Style" w:cs="Times New Roman"/>
          <w:sz w:val="28"/>
          <w:szCs w:val="28"/>
        </w:rPr>
        <w:t xml:space="preserve"> </w:t>
      </w:r>
      <w:r w:rsidRPr="009A21DA">
        <w:rPr>
          <w:rFonts w:ascii="Bookman Old Style" w:hAnsi="Bookman Old Style" w:cs="Times New Roman"/>
          <w:sz w:val="28"/>
          <w:szCs w:val="28"/>
        </w:rPr>
        <w:t>% населения Кочковского района (не имеет регулярного транспортного сообщения пос. Новый Вокзал</w:t>
      </w:r>
      <w:r w:rsidR="00AC4CC5" w:rsidRPr="009A21DA">
        <w:rPr>
          <w:rFonts w:ascii="Bookman Old Style" w:hAnsi="Bookman Old Style" w:cs="Times New Roman"/>
          <w:sz w:val="28"/>
          <w:szCs w:val="28"/>
        </w:rPr>
        <w:t>, пос. Земировский, пос. Николаевский</w:t>
      </w:r>
      <w:r w:rsidRPr="009A21DA">
        <w:rPr>
          <w:rFonts w:ascii="Bookman Old Style" w:hAnsi="Bookman Old Style" w:cs="Times New Roman"/>
          <w:sz w:val="28"/>
          <w:szCs w:val="28"/>
        </w:rPr>
        <w:t xml:space="preserve">). Перевозки пассажиров по внутрирайонным маршрутам, а также по маршрутам Кочки-Новосибирск и Кочки-Каргат осуществляет ООО «Кочковское АТП». </w:t>
      </w:r>
    </w:p>
    <w:p w:rsidR="00675BF0" w:rsidRPr="009A21DA" w:rsidRDefault="00675BF0" w:rsidP="009B4C92">
      <w:pPr>
        <w:spacing w:after="0" w:line="276" w:lineRule="auto"/>
        <w:ind w:firstLine="709"/>
        <w:jc w:val="both"/>
        <w:rPr>
          <w:rFonts w:ascii="Bookman Old Style" w:hAnsi="Bookman Old Style" w:cs="Times New Roman"/>
          <w:sz w:val="28"/>
          <w:szCs w:val="28"/>
        </w:rPr>
      </w:pPr>
    </w:p>
    <w:p w:rsidR="00A72A7E" w:rsidRPr="009A21DA" w:rsidRDefault="00A72A7E"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noProof/>
          <w:sz w:val="28"/>
          <w:szCs w:val="28"/>
          <w:lang w:eastAsia="ru-RU"/>
        </w:rPr>
        <w:drawing>
          <wp:inline distT="0" distB="0" distL="0" distR="0">
            <wp:extent cx="5495925" cy="32099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2A7E" w:rsidRPr="009A21DA" w:rsidRDefault="0034641A"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Рисунок 3 – Объем транспортных услуг.</w:t>
      </w:r>
    </w:p>
    <w:p w:rsidR="00A72A7E" w:rsidRPr="009A21DA" w:rsidRDefault="00A72A7E" w:rsidP="009B4C92">
      <w:pPr>
        <w:spacing w:after="0" w:line="276" w:lineRule="auto"/>
        <w:ind w:firstLine="709"/>
        <w:jc w:val="both"/>
        <w:rPr>
          <w:rFonts w:ascii="Bookman Old Style" w:hAnsi="Bookman Old Style" w:cs="Times New Roman"/>
          <w:sz w:val="28"/>
          <w:szCs w:val="28"/>
        </w:rPr>
      </w:pPr>
    </w:p>
    <w:p w:rsidR="001611CE" w:rsidRPr="009A21DA" w:rsidRDefault="001611CE" w:rsidP="001611CE">
      <w:pPr>
        <w:spacing w:after="0" w:line="276" w:lineRule="auto"/>
        <w:ind w:firstLine="709"/>
        <w:jc w:val="both"/>
        <w:rPr>
          <w:rFonts w:ascii="Bookman Old Style" w:hAnsi="Bookman Old Style" w:cs="Times New Roman"/>
          <w:sz w:val="28"/>
          <w:szCs w:val="28"/>
        </w:rPr>
      </w:pPr>
      <w:bookmarkStart w:id="2" w:name="_Hlk480362329"/>
      <w:r w:rsidRPr="009A21DA">
        <w:rPr>
          <w:rFonts w:ascii="Bookman Old Style" w:hAnsi="Bookman Old Style" w:cs="Times New Roman"/>
          <w:sz w:val="28"/>
          <w:szCs w:val="28"/>
        </w:rPr>
        <w:t>Объем грузовых перевозок составил 2</w:t>
      </w:r>
      <w:r w:rsidR="00AF1606" w:rsidRPr="009A21DA">
        <w:rPr>
          <w:rFonts w:ascii="Bookman Old Style" w:hAnsi="Bookman Old Style" w:cs="Times New Roman"/>
          <w:sz w:val="28"/>
          <w:szCs w:val="28"/>
        </w:rPr>
        <w:t>37,7</w:t>
      </w:r>
      <w:r w:rsidRPr="009A21DA">
        <w:rPr>
          <w:rFonts w:ascii="Bookman Old Style" w:hAnsi="Bookman Old Style" w:cs="Times New Roman"/>
          <w:sz w:val="28"/>
          <w:szCs w:val="28"/>
        </w:rPr>
        <w:t xml:space="preserve"> тыс. тонн, что выше уровня 20</w:t>
      </w:r>
      <w:r w:rsidR="00AF1606" w:rsidRPr="009A21DA">
        <w:rPr>
          <w:rFonts w:ascii="Bookman Old Style" w:hAnsi="Bookman Old Style" w:cs="Times New Roman"/>
          <w:sz w:val="28"/>
          <w:szCs w:val="28"/>
        </w:rPr>
        <w:t>20</w:t>
      </w:r>
      <w:r w:rsidRPr="009A21DA">
        <w:rPr>
          <w:rFonts w:ascii="Bookman Old Style" w:hAnsi="Bookman Old Style" w:cs="Times New Roman"/>
          <w:sz w:val="28"/>
          <w:szCs w:val="28"/>
        </w:rPr>
        <w:t xml:space="preserve"> года на </w:t>
      </w:r>
      <w:r w:rsidR="00AF1606" w:rsidRPr="009A21DA">
        <w:rPr>
          <w:rFonts w:ascii="Bookman Old Style" w:hAnsi="Bookman Old Style" w:cs="Times New Roman"/>
          <w:sz w:val="28"/>
          <w:szCs w:val="28"/>
        </w:rPr>
        <w:t>8,1</w:t>
      </w:r>
      <w:r w:rsidRPr="009A21DA">
        <w:rPr>
          <w:rFonts w:ascii="Bookman Old Style" w:hAnsi="Bookman Old Style" w:cs="Times New Roman"/>
          <w:sz w:val="28"/>
          <w:szCs w:val="28"/>
        </w:rPr>
        <w:t xml:space="preserve"> %. Подавляющую часть перевозимых грузов составляет сельхозпродукция, объем которой в натуральном выражении вырос, соответственно, выросли объемы грузоперевозок.</w:t>
      </w:r>
    </w:p>
    <w:p w:rsidR="001611CE" w:rsidRPr="009A21DA" w:rsidRDefault="001611CE" w:rsidP="001611CE">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Число перевезенных пассажиров </w:t>
      </w:r>
      <w:r w:rsidR="00AF1606" w:rsidRPr="009A21DA">
        <w:rPr>
          <w:rFonts w:ascii="Bookman Old Style" w:hAnsi="Bookman Old Style" w:cs="Times New Roman"/>
          <w:sz w:val="28"/>
          <w:szCs w:val="28"/>
        </w:rPr>
        <w:t>выросло</w:t>
      </w:r>
      <w:r w:rsidRPr="009A21DA">
        <w:rPr>
          <w:rFonts w:ascii="Bookman Old Style" w:hAnsi="Bookman Old Style" w:cs="Times New Roman"/>
          <w:sz w:val="28"/>
          <w:szCs w:val="28"/>
        </w:rPr>
        <w:t xml:space="preserve"> на </w:t>
      </w:r>
      <w:r w:rsidR="00AF1606" w:rsidRPr="009A21DA">
        <w:rPr>
          <w:rFonts w:ascii="Bookman Old Style" w:hAnsi="Bookman Old Style" w:cs="Times New Roman"/>
          <w:sz w:val="28"/>
          <w:szCs w:val="28"/>
        </w:rPr>
        <w:t>5,2</w:t>
      </w:r>
      <w:r w:rsidRPr="009A21DA">
        <w:rPr>
          <w:rFonts w:ascii="Bookman Old Style" w:hAnsi="Bookman Old Style" w:cs="Times New Roman"/>
          <w:sz w:val="28"/>
          <w:szCs w:val="28"/>
        </w:rPr>
        <w:t xml:space="preserve"> % и составило </w:t>
      </w:r>
      <w:r w:rsidR="00AF1606" w:rsidRPr="009A21DA">
        <w:rPr>
          <w:rFonts w:ascii="Bookman Old Style" w:hAnsi="Bookman Old Style" w:cs="Times New Roman"/>
          <w:sz w:val="28"/>
          <w:szCs w:val="28"/>
        </w:rPr>
        <w:t>149,4</w:t>
      </w:r>
      <w:r w:rsidRPr="009A21DA">
        <w:rPr>
          <w:rFonts w:ascii="Bookman Old Style" w:hAnsi="Bookman Old Style" w:cs="Times New Roman"/>
          <w:sz w:val="28"/>
          <w:szCs w:val="28"/>
        </w:rPr>
        <w:t xml:space="preserve"> тысячи. </w:t>
      </w:r>
    </w:p>
    <w:bookmarkEnd w:id="2"/>
    <w:p w:rsidR="00495768" w:rsidRPr="009A21DA" w:rsidRDefault="00495768" w:rsidP="009B4C92">
      <w:pPr>
        <w:spacing w:after="0" w:line="276" w:lineRule="auto"/>
        <w:ind w:firstLine="709"/>
        <w:jc w:val="both"/>
        <w:rPr>
          <w:rFonts w:ascii="Bookman Old Style" w:hAnsi="Bookman Old Style" w:cs="Times New Roman"/>
          <w:sz w:val="28"/>
          <w:szCs w:val="28"/>
        </w:rPr>
      </w:pPr>
    </w:p>
    <w:p w:rsidR="0034641A" w:rsidRPr="009A21DA" w:rsidRDefault="0034641A" w:rsidP="009B4C92">
      <w:pPr>
        <w:numPr>
          <w:ilvl w:val="0"/>
          <w:numId w:val="2"/>
        </w:numPr>
        <w:spacing w:after="0" w:line="276" w:lineRule="auto"/>
        <w:jc w:val="center"/>
        <w:rPr>
          <w:rFonts w:ascii="Bookman Old Style" w:hAnsi="Bookman Old Style" w:cs="Times New Roman"/>
          <w:b/>
          <w:color w:val="171717" w:themeColor="background2" w:themeShade="1A"/>
          <w:sz w:val="28"/>
          <w:szCs w:val="28"/>
        </w:rPr>
      </w:pPr>
      <w:r w:rsidRPr="009A21DA">
        <w:rPr>
          <w:rFonts w:ascii="Bookman Old Style" w:hAnsi="Bookman Old Style" w:cs="Times New Roman"/>
          <w:b/>
          <w:color w:val="171717" w:themeColor="background2" w:themeShade="1A"/>
          <w:sz w:val="28"/>
          <w:szCs w:val="28"/>
        </w:rPr>
        <w:t>Здравоохранение и здоровье населения</w:t>
      </w:r>
    </w:p>
    <w:p w:rsidR="00F42192" w:rsidRPr="009A21DA" w:rsidRDefault="00F42192" w:rsidP="00F42192">
      <w:pPr>
        <w:spacing w:after="0" w:line="276" w:lineRule="auto"/>
        <w:ind w:left="1080"/>
        <w:rPr>
          <w:rFonts w:ascii="Bookman Old Style" w:hAnsi="Bookman Old Style" w:cs="Times New Roman"/>
          <w:b/>
          <w:color w:val="171717" w:themeColor="background2" w:themeShade="1A"/>
          <w:sz w:val="28"/>
          <w:szCs w:val="28"/>
        </w:rPr>
      </w:pPr>
    </w:p>
    <w:p w:rsidR="00024A4D" w:rsidRPr="009A21DA" w:rsidRDefault="00024A4D"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Система здравоохранения Кочковского района представлена ГБУЗ НСО «Кочковская ЦРБ», 3-мя врачебными амбулаториями, 13 фельдшерско-акушерскими пунктами. </w:t>
      </w:r>
      <w:r w:rsidRPr="009A21DA">
        <w:rPr>
          <w:rFonts w:ascii="Bookman Old Style" w:hAnsi="Bookman Old Style" w:cs="Times New Roman"/>
          <w:sz w:val="28"/>
          <w:szCs w:val="28"/>
        </w:rPr>
        <w:lastRenderedPageBreak/>
        <w:t>Мощность амбулаторно-поликлинических учреждений района составляет 350 посещений в смену. На базе ЦРБ функционирует отделение скорой помощи с 2-ми круглосуточными бригадами, с радиусом обслуживания на всю территорию района.</w:t>
      </w:r>
    </w:p>
    <w:p w:rsidR="007C1FCF" w:rsidRPr="009A21DA" w:rsidRDefault="007C1FCF" w:rsidP="009B4C92">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Основными задачами органов местного самоуправления в сфере здравоохранения являются повышение доступности и качества медицинских услуг, профилактика заболеваний и пропаганда здорового образа жизни. </w:t>
      </w:r>
    </w:p>
    <w:p w:rsidR="0035022A" w:rsidRPr="009A21DA" w:rsidRDefault="0035022A" w:rsidP="0035022A">
      <w:pPr>
        <w:spacing w:after="0" w:line="276" w:lineRule="auto"/>
        <w:ind w:firstLine="709"/>
        <w:jc w:val="both"/>
        <w:rPr>
          <w:rFonts w:ascii="Bookman Old Style" w:hAnsi="Bookman Old Style" w:cs="Times New Roman"/>
          <w:bCs/>
          <w:iCs/>
          <w:sz w:val="28"/>
          <w:szCs w:val="28"/>
        </w:rPr>
      </w:pPr>
      <w:r w:rsidRPr="009A21DA">
        <w:rPr>
          <w:rFonts w:ascii="Bookman Old Style" w:hAnsi="Bookman Old Style" w:cs="Times New Roman"/>
          <w:bCs/>
          <w:iCs/>
          <w:sz w:val="28"/>
          <w:szCs w:val="28"/>
        </w:rPr>
        <w:t>В рамках реализации НП «Здравоохранение» построен ФАП в с. Новоцелинное сметной стоимостью более 10 млн. рублей, на 1,5 миллиона рублей закуплены мебель и оборудование для его оснащения, произведен капитальный ремонт системы отопления гаража, приобретено медицинское оборудование на сумму почти 5 миллионов рублей, 3 легковых автомобиля для организации выездного обслуживания пациентов. Кроме того, центральная районная больница получила еще один автомобиль скорой помощи в рамках централизованной закупки Министерства здравоохранения Новосибирской области.</w:t>
      </w:r>
    </w:p>
    <w:p w:rsidR="00566980" w:rsidRPr="009A21DA" w:rsidRDefault="00566980" w:rsidP="009B4C92">
      <w:pPr>
        <w:spacing w:after="0" w:line="276" w:lineRule="auto"/>
        <w:ind w:firstLine="709"/>
        <w:jc w:val="both"/>
        <w:rPr>
          <w:rFonts w:ascii="Bookman Old Style" w:hAnsi="Bookman Old Style" w:cs="Times New Roman"/>
          <w:sz w:val="28"/>
          <w:szCs w:val="28"/>
        </w:rPr>
      </w:pPr>
    </w:p>
    <w:p w:rsidR="003E10F7" w:rsidRPr="009A21DA" w:rsidRDefault="003E10F7" w:rsidP="009B4C92">
      <w:pPr>
        <w:numPr>
          <w:ilvl w:val="0"/>
          <w:numId w:val="2"/>
        </w:numPr>
        <w:spacing w:after="0" w:line="276" w:lineRule="auto"/>
        <w:ind w:left="0" w:firstLine="709"/>
        <w:contextualSpacing/>
        <w:jc w:val="center"/>
        <w:rPr>
          <w:rFonts w:ascii="Bookman Old Style" w:eastAsia="Times New Roman" w:hAnsi="Bookman Old Style" w:cs="Times New Roman"/>
          <w:b/>
          <w:color w:val="171717" w:themeColor="background2" w:themeShade="1A"/>
          <w:sz w:val="28"/>
          <w:szCs w:val="28"/>
          <w:lang w:eastAsia="ru-RU"/>
        </w:rPr>
      </w:pPr>
      <w:r w:rsidRPr="009A21DA">
        <w:rPr>
          <w:rFonts w:ascii="Bookman Old Style" w:eastAsia="Times New Roman" w:hAnsi="Bookman Old Style" w:cs="Times New Roman"/>
          <w:b/>
          <w:color w:val="171717" w:themeColor="background2" w:themeShade="1A"/>
          <w:sz w:val="28"/>
          <w:szCs w:val="28"/>
          <w:lang w:eastAsia="ru-RU"/>
        </w:rPr>
        <w:t>Образование</w:t>
      </w:r>
    </w:p>
    <w:p w:rsidR="00F42192" w:rsidRPr="009A21DA" w:rsidRDefault="00F42192" w:rsidP="00F42192">
      <w:pPr>
        <w:spacing w:after="0" w:line="276" w:lineRule="auto"/>
        <w:ind w:left="709"/>
        <w:contextualSpacing/>
        <w:rPr>
          <w:rFonts w:ascii="Bookman Old Style" w:eastAsia="Times New Roman" w:hAnsi="Bookman Old Style" w:cs="Times New Roman"/>
          <w:b/>
          <w:color w:val="171717" w:themeColor="background2" w:themeShade="1A"/>
          <w:sz w:val="28"/>
          <w:szCs w:val="28"/>
          <w:lang w:eastAsia="ru-RU"/>
        </w:rPr>
      </w:pPr>
    </w:p>
    <w:p w:rsidR="00A5268E" w:rsidRPr="009A21DA" w:rsidRDefault="00A5268E" w:rsidP="00A5268E">
      <w:pPr>
        <w:pStyle w:val="a8"/>
        <w:spacing w:line="276" w:lineRule="auto"/>
        <w:ind w:left="0" w:firstLine="720"/>
        <w:jc w:val="both"/>
        <w:rPr>
          <w:rFonts w:ascii="Bookman Old Style" w:hAnsi="Bookman Old Style"/>
          <w:sz w:val="28"/>
          <w:szCs w:val="28"/>
        </w:rPr>
      </w:pPr>
      <w:r w:rsidRPr="009A21DA">
        <w:rPr>
          <w:rFonts w:ascii="Bookman Old Style" w:hAnsi="Bookman Old Style"/>
          <w:sz w:val="28"/>
          <w:szCs w:val="28"/>
        </w:rPr>
        <w:t>Система образования Кочковского района включает в себя 22 образовательные организации, 12 из них школы (3 основных, 9 средних), 8 дошкольных учреждений, 2 учреждения дополнительного образования. При МКОУ «Троицкая СШ», МКОУ «Республиканская ОШ» и МКОУ» Ермаковская ОШ» действую дошкольные группы.</w:t>
      </w:r>
    </w:p>
    <w:p w:rsidR="00A5268E" w:rsidRPr="009A21DA" w:rsidRDefault="00A5268E" w:rsidP="00A5268E">
      <w:pPr>
        <w:pStyle w:val="a8"/>
        <w:spacing w:line="276" w:lineRule="auto"/>
        <w:ind w:left="0" w:firstLine="720"/>
        <w:jc w:val="both"/>
        <w:rPr>
          <w:rFonts w:ascii="Bookman Old Style" w:hAnsi="Bookman Old Style"/>
          <w:sz w:val="28"/>
          <w:szCs w:val="28"/>
        </w:rPr>
      </w:pPr>
      <w:r w:rsidRPr="009A21DA">
        <w:rPr>
          <w:rFonts w:ascii="Bookman Old Style" w:hAnsi="Bookman Old Style"/>
          <w:sz w:val="28"/>
          <w:szCs w:val="28"/>
        </w:rPr>
        <w:t xml:space="preserve">По результатам государственной итоговой аттестации все выпускники 9 и 11 классов получили аттестаты. </w:t>
      </w:r>
    </w:p>
    <w:p w:rsidR="00A5268E" w:rsidRPr="009A21DA" w:rsidRDefault="00A5268E" w:rsidP="00A5268E">
      <w:pPr>
        <w:pStyle w:val="a8"/>
        <w:spacing w:line="276" w:lineRule="auto"/>
        <w:ind w:left="0" w:firstLine="720"/>
        <w:jc w:val="both"/>
        <w:rPr>
          <w:rFonts w:ascii="Bookman Old Style" w:hAnsi="Bookman Old Style"/>
          <w:sz w:val="28"/>
          <w:szCs w:val="28"/>
        </w:rPr>
      </w:pPr>
      <w:r w:rsidRPr="009A21DA">
        <w:rPr>
          <w:rFonts w:ascii="Bookman Old Style" w:hAnsi="Bookman Old Style"/>
          <w:sz w:val="28"/>
          <w:szCs w:val="28"/>
        </w:rPr>
        <w:t>Доступность дошкольного образования для детей в возрасте от 3 до 7 лет составляет 100%, от 2 месяцев до 1,5 лет – 70% (дети стоят в очереди, родители не хотят отдавать ребенка в сад до 1,5-2 лет). Детские сады заполнены не на полную мощность.</w:t>
      </w:r>
    </w:p>
    <w:p w:rsidR="00A5268E" w:rsidRPr="009A21DA" w:rsidRDefault="00A5268E" w:rsidP="00A5268E">
      <w:pPr>
        <w:pStyle w:val="a8"/>
        <w:spacing w:line="276" w:lineRule="auto"/>
        <w:ind w:left="0" w:firstLine="720"/>
        <w:jc w:val="both"/>
        <w:rPr>
          <w:rFonts w:ascii="Bookman Old Style" w:hAnsi="Bookman Old Style"/>
          <w:sz w:val="28"/>
          <w:szCs w:val="28"/>
        </w:rPr>
      </w:pPr>
      <w:r w:rsidRPr="009A21DA">
        <w:rPr>
          <w:rFonts w:ascii="Bookman Old Style" w:hAnsi="Bookman Old Style"/>
          <w:sz w:val="28"/>
          <w:szCs w:val="28"/>
        </w:rPr>
        <w:t xml:space="preserve">В отчетном году внедрялась целевая модель развития региональной системы дополнительного образования детей. Система дополнительного образования района с сентября 2021 года представлена деятельностью 5 образовательных </w:t>
      </w:r>
      <w:r w:rsidRPr="009A21DA">
        <w:rPr>
          <w:rFonts w:ascii="Bookman Old Style" w:hAnsi="Bookman Old Style"/>
          <w:sz w:val="28"/>
          <w:szCs w:val="28"/>
        </w:rPr>
        <w:lastRenderedPageBreak/>
        <w:t xml:space="preserve">организаций, на базе которых открыто 1950 ученико-мест. В рамках проекта охват обучающихся программами дополнительного образования составил 75%. </w:t>
      </w:r>
    </w:p>
    <w:p w:rsidR="00A5268E" w:rsidRPr="009A21DA" w:rsidRDefault="00A5268E" w:rsidP="00A5268E">
      <w:pPr>
        <w:pStyle w:val="a8"/>
        <w:spacing w:line="276" w:lineRule="auto"/>
        <w:ind w:left="0" w:firstLine="720"/>
        <w:jc w:val="both"/>
        <w:rPr>
          <w:rFonts w:ascii="Bookman Old Style" w:hAnsi="Bookman Old Style"/>
          <w:sz w:val="28"/>
          <w:szCs w:val="28"/>
        </w:rPr>
      </w:pPr>
      <w:r w:rsidRPr="009A21DA">
        <w:rPr>
          <w:rFonts w:ascii="Bookman Old Style" w:hAnsi="Bookman Old Style"/>
          <w:sz w:val="28"/>
          <w:szCs w:val="28"/>
        </w:rPr>
        <w:t>В районе созданы 3 отделения Юнармии, 5 отделений РДШ. Волонтерство развивается во всех школах.</w:t>
      </w:r>
    </w:p>
    <w:p w:rsidR="00A5268E" w:rsidRPr="009A21DA" w:rsidRDefault="00A5268E" w:rsidP="00A5268E">
      <w:pPr>
        <w:pStyle w:val="a8"/>
        <w:spacing w:line="276" w:lineRule="auto"/>
        <w:rPr>
          <w:rFonts w:ascii="Bookman Old Style" w:hAnsi="Bookman Old Style"/>
          <w:sz w:val="28"/>
          <w:szCs w:val="28"/>
        </w:rPr>
      </w:pPr>
    </w:p>
    <w:p w:rsidR="00492B96" w:rsidRPr="009A21DA" w:rsidRDefault="00492B96" w:rsidP="009B4C92">
      <w:pPr>
        <w:numPr>
          <w:ilvl w:val="0"/>
          <w:numId w:val="2"/>
        </w:numPr>
        <w:spacing w:after="0" w:line="276" w:lineRule="auto"/>
        <w:jc w:val="center"/>
        <w:rPr>
          <w:rFonts w:ascii="Bookman Old Style" w:hAnsi="Bookman Old Style" w:cs="Times New Roman"/>
          <w:b/>
          <w:color w:val="171717" w:themeColor="background2" w:themeShade="1A"/>
          <w:sz w:val="28"/>
          <w:szCs w:val="28"/>
        </w:rPr>
      </w:pPr>
      <w:r w:rsidRPr="009A21DA">
        <w:rPr>
          <w:rFonts w:ascii="Bookman Old Style" w:hAnsi="Bookman Old Style" w:cs="Times New Roman"/>
          <w:b/>
          <w:color w:val="171717" w:themeColor="background2" w:themeShade="1A"/>
          <w:sz w:val="28"/>
          <w:szCs w:val="28"/>
        </w:rPr>
        <w:t>Культура</w:t>
      </w:r>
    </w:p>
    <w:p w:rsidR="00F42192" w:rsidRPr="009A21DA" w:rsidRDefault="00F42192" w:rsidP="00F42192">
      <w:pPr>
        <w:spacing w:after="0" w:line="276" w:lineRule="auto"/>
        <w:ind w:left="1080"/>
        <w:rPr>
          <w:rFonts w:ascii="Bookman Old Style" w:hAnsi="Bookman Old Style" w:cs="Times New Roman"/>
          <w:b/>
          <w:color w:val="171717" w:themeColor="background2" w:themeShade="1A"/>
          <w:sz w:val="28"/>
          <w:szCs w:val="28"/>
        </w:rPr>
      </w:pPr>
    </w:p>
    <w:p w:rsidR="00400AAD" w:rsidRPr="009A21DA" w:rsidRDefault="00400AAD" w:rsidP="00400AAD">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На территории района успешно реализуют свою деятельность 13 культурно-досуговых организаций. </w:t>
      </w:r>
    </w:p>
    <w:p w:rsidR="00400AAD" w:rsidRPr="009A21DA" w:rsidRDefault="00400AAD" w:rsidP="00400AAD">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На постоянной основе в учреждениях культуры функционируют 145 клубов и объединений по интересам, в т.ч. 70 детских, в которых занимаются 1746, в т.ч.  детей 901.</w:t>
      </w:r>
    </w:p>
    <w:p w:rsidR="00400AAD" w:rsidRPr="009A21DA" w:rsidRDefault="00400AAD" w:rsidP="00400AAD">
      <w:pPr>
        <w:spacing w:after="0" w:line="276" w:lineRule="auto"/>
        <w:ind w:firstLine="709"/>
        <w:jc w:val="both"/>
        <w:rPr>
          <w:rFonts w:ascii="Bookman Old Style" w:hAnsi="Bookman Old Style" w:cs="Times New Roman"/>
          <w:sz w:val="28"/>
          <w:szCs w:val="28"/>
        </w:rPr>
      </w:pPr>
      <w:r w:rsidRPr="009A21DA">
        <w:rPr>
          <w:rFonts w:ascii="Bookman Old Style" w:hAnsi="Bookman Old Style" w:cs="Times New Roman"/>
          <w:sz w:val="28"/>
          <w:szCs w:val="28"/>
        </w:rPr>
        <w:t xml:space="preserve">За 2021 год организовано и проведено более 682 социально-значимых культурно-массовых мероприятий, участниками которых стали более 29 тысяч жителей и гостей района. Из числа наиболее ярких культурно-массовых мероприятий можно отметить: районный фестиваль исполнителей песен зимней тематики «Метелица»; </w:t>
      </w:r>
      <w:r w:rsidRPr="009A21DA">
        <w:rPr>
          <w:rFonts w:ascii="Bookman Old Style" w:hAnsi="Bookman Old Style" w:cs="Times New Roman"/>
          <w:sz w:val="28"/>
          <w:szCs w:val="28"/>
          <w:lang w:val="en-US"/>
        </w:rPr>
        <w:t>XIII</w:t>
      </w:r>
      <w:r w:rsidRPr="009A21DA">
        <w:rPr>
          <w:rFonts w:ascii="Bookman Old Style" w:hAnsi="Bookman Old Style" w:cs="Times New Roman"/>
          <w:sz w:val="28"/>
          <w:szCs w:val="28"/>
        </w:rPr>
        <w:t xml:space="preserve"> районный конкурс детского творчества «Город Мастеров»; драматический   спектакль «Иван Васильевич меняет профессию»; 17-й Районный конкурс юных талантов «Колокольчик» и другие, а также более 481 онлайн конкурсов и акций.</w:t>
      </w:r>
    </w:p>
    <w:p w:rsidR="00A05526" w:rsidRPr="009A21DA" w:rsidRDefault="00A05526" w:rsidP="00A05526">
      <w:pPr>
        <w:spacing w:after="0" w:line="276" w:lineRule="auto"/>
        <w:ind w:firstLine="709"/>
        <w:jc w:val="both"/>
        <w:rPr>
          <w:rFonts w:ascii="Bookman Old Style" w:hAnsi="Bookman Old Style" w:cs="Times New Roman"/>
          <w:sz w:val="28"/>
          <w:szCs w:val="28"/>
        </w:rPr>
      </w:pPr>
    </w:p>
    <w:p w:rsidR="00E2543E" w:rsidRPr="009A21DA" w:rsidRDefault="00E2543E" w:rsidP="009B4C92">
      <w:pPr>
        <w:pStyle w:val="a8"/>
        <w:numPr>
          <w:ilvl w:val="0"/>
          <w:numId w:val="2"/>
        </w:numPr>
        <w:spacing w:line="276" w:lineRule="auto"/>
        <w:ind w:left="0" w:firstLine="709"/>
        <w:jc w:val="center"/>
        <w:rPr>
          <w:rFonts w:ascii="Bookman Old Style" w:hAnsi="Bookman Old Style"/>
          <w:color w:val="171717" w:themeColor="background2" w:themeShade="1A"/>
          <w:sz w:val="28"/>
          <w:szCs w:val="28"/>
        </w:rPr>
      </w:pPr>
      <w:r w:rsidRPr="009A21DA">
        <w:rPr>
          <w:rFonts w:ascii="Bookman Old Style" w:hAnsi="Bookman Old Style"/>
          <w:b/>
          <w:color w:val="171717" w:themeColor="background2" w:themeShade="1A"/>
          <w:sz w:val="28"/>
          <w:szCs w:val="28"/>
        </w:rPr>
        <w:t>Физическая культура и спорт</w:t>
      </w:r>
    </w:p>
    <w:p w:rsidR="00F42192" w:rsidRPr="009A21DA" w:rsidRDefault="00F42192" w:rsidP="00F42192">
      <w:pPr>
        <w:pStyle w:val="a8"/>
        <w:spacing w:line="276" w:lineRule="auto"/>
        <w:ind w:left="709"/>
        <w:rPr>
          <w:rFonts w:ascii="Bookman Old Style" w:hAnsi="Bookman Old Style"/>
          <w:color w:val="171717" w:themeColor="background2" w:themeShade="1A"/>
          <w:sz w:val="28"/>
          <w:szCs w:val="28"/>
        </w:rPr>
      </w:pPr>
    </w:p>
    <w:p w:rsidR="00D412B7" w:rsidRPr="009A21DA" w:rsidRDefault="00D412B7" w:rsidP="00D412B7">
      <w:pPr>
        <w:pStyle w:val="a8"/>
        <w:spacing w:line="276" w:lineRule="auto"/>
        <w:ind w:left="0" w:firstLine="709"/>
        <w:jc w:val="both"/>
        <w:rPr>
          <w:rFonts w:ascii="Bookman Old Style" w:hAnsi="Bookman Old Style"/>
          <w:color w:val="171717" w:themeColor="background2" w:themeShade="1A"/>
          <w:sz w:val="28"/>
          <w:szCs w:val="28"/>
        </w:rPr>
      </w:pPr>
      <w:r w:rsidRPr="009A21DA">
        <w:rPr>
          <w:rFonts w:ascii="Bookman Old Style" w:hAnsi="Bookman Old Style"/>
          <w:color w:val="171717" w:themeColor="background2" w:themeShade="1A"/>
          <w:sz w:val="28"/>
          <w:szCs w:val="28"/>
        </w:rPr>
        <w:t>В рамках муниципальной программы «Развитие физической культуры и спорта в Кочковском районе Новосибирской области» организовано и проведено 21 спортивно-массовых  мероприяте по продвижению здорового образа жизни, развитию физической культуры и массового спорта, в которых приняло участие 961 спортсмен (районные соревнования по хоккею с шайбой на призы клуба «Золотая шайба», районные соревнования по лыжным гонкам среди учащихся СШ, Всероссийская массовая лыжная гонка «Лыжня России – 202</w:t>
      </w:r>
      <w:r w:rsidR="00822522" w:rsidRPr="009A21DA">
        <w:rPr>
          <w:rFonts w:ascii="Bookman Old Style" w:hAnsi="Bookman Old Style"/>
          <w:color w:val="171717" w:themeColor="background2" w:themeShade="1A"/>
          <w:sz w:val="28"/>
          <w:szCs w:val="28"/>
        </w:rPr>
        <w:t>1</w:t>
      </w:r>
      <w:r w:rsidRPr="009A21DA">
        <w:rPr>
          <w:rFonts w:ascii="Bookman Old Style" w:hAnsi="Bookman Old Style"/>
          <w:color w:val="171717" w:themeColor="background2" w:themeShade="1A"/>
          <w:sz w:val="28"/>
          <w:szCs w:val="28"/>
        </w:rPr>
        <w:t xml:space="preserve">», IХ зимняя спартакиада пенсионеров Кочковского района, зимний Фестиваль ГТО среди учащихся СШ, открытый Чемпионат Кочковского района по </w:t>
      </w:r>
      <w:r w:rsidRPr="009A21DA">
        <w:rPr>
          <w:rFonts w:ascii="Bookman Old Style" w:hAnsi="Bookman Old Style"/>
          <w:color w:val="171717" w:themeColor="background2" w:themeShade="1A"/>
          <w:sz w:val="28"/>
          <w:szCs w:val="28"/>
        </w:rPr>
        <w:lastRenderedPageBreak/>
        <w:t>зимнему рыболовному спорту, межрайонные турниры по хоккею с шайбой, Кросс нации, областной турнир по бильярду и др.</w:t>
      </w:r>
    </w:p>
    <w:p w:rsidR="009B4C92" w:rsidRPr="009A21DA" w:rsidRDefault="00D412B7" w:rsidP="00D412B7">
      <w:pPr>
        <w:pStyle w:val="a8"/>
        <w:spacing w:line="276" w:lineRule="auto"/>
        <w:ind w:left="0" w:firstLine="709"/>
        <w:jc w:val="both"/>
        <w:rPr>
          <w:rFonts w:ascii="Bookman Old Style" w:hAnsi="Bookman Old Style"/>
          <w:color w:val="171717" w:themeColor="background2" w:themeShade="1A"/>
          <w:sz w:val="28"/>
          <w:szCs w:val="28"/>
        </w:rPr>
      </w:pPr>
      <w:r w:rsidRPr="009A21DA">
        <w:rPr>
          <w:rFonts w:ascii="Bookman Old Style" w:hAnsi="Bookman Old Style"/>
          <w:color w:val="171717" w:themeColor="background2" w:themeShade="1A"/>
          <w:sz w:val="28"/>
          <w:szCs w:val="28"/>
        </w:rPr>
        <w:t>132 спортсмена района приняли участие в 11 зональных и финальных областных спортивно-массовых мероприятиях (Межрайонные турниры по хоккею с шайбой, шорт-треку и финальные соревнования ХI зимней Спартакиады муниципальных образований Новосибирской области, зональные и финальные соревнования IХ зимней Спартакиады пенсионеров Новосибирской области и др.).</w:t>
      </w:r>
    </w:p>
    <w:p w:rsidR="00B717EE" w:rsidRPr="009A21DA" w:rsidRDefault="00B717EE" w:rsidP="009B4C92">
      <w:pPr>
        <w:pStyle w:val="a8"/>
        <w:spacing w:line="276" w:lineRule="auto"/>
        <w:ind w:left="0" w:firstLine="709"/>
        <w:jc w:val="both"/>
        <w:rPr>
          <w:rFonts w:ascii="Bookman Old Style" w:hAnsi="Bookman Old Style"/>
          <w:color w:val="171717" w:themeColor="background2" w:themeShade="1A"/>
          <w:sz w:val="28"/>
          <w:szCs w:val="28"/>
        </w:rPr>
      </w:pPr>
    </w:p>
    <w:p w:rsidR="00E2543E" w:rsidRPr="009A21DA" w:rsidRDefault="00E2543E" w:rsidP="009B4C92">
      <w:pPr>
        <w:numPr>
          <w:ilvl w:val="0"/>
          <w:numId w:val="2"/>
        </w:numPr>
        <w:spacing w:after="0" w:line="276" w:lineRule="auto"/>
        <w:ind w:left="0" w:firstLine="709"/>
        <w:contextualSpacing/>
        <w:jc w:val="center"/>
        <w:rPr>
          <w:rFonts w:ascii="Bookman Old Style" w:eastAsia="Times New Roman" w:hAnsi="Bookman Old Style" w:cs="Times New Roman"/>
          <w:b/>
          <w:color w:val="171717" w:themeColor="background2" w:themeShade="1A"/>
          <w:sz w:val="28"/>
          <w:szCs w:val="28"/>
          <w:lang w:eastAsia="ru-RU"/>
        </w:rPr>
      </w:pPr>
      <w:r w:rsidRPr="009A21DA">
        <w:rPr>
          <w:rFonts w:ascii="Bookman Old Style" w:eastAsia="Times New Roman" w:hAnsi="Bookman Old Style" w:cs="Times New Roman"/>
          <w:b/>
          <w:color w:val="171717" w:themeColor="background2" w:themeShade="1A"/>
          <w:sz w:val="28"/>
          <w:szCs w:val="28"/>
          <w:lang w:eastAsia="ru-RU"/>
        </w:rPr>
        <w:t>Жилищное строительство и обеспечение граждан жильем</w:t>
      </w:r>
    </w:p>
    <w:p w:rsidR="00E2543E" w:rsidRPr="009A21DA" w:rsidRDefault="00E2543E" w:rsidP="009B4C92">
      <w:pPr>
        <w:spacing w:after="0" w:line="276" w:lineRule="auto"/>
        <w:ind w:left="709"/>
        <w:contextualSpacing/>
        <w:rPr>
          <w:rFonts w:ascii="Bookman Old Style" w:eastAsia="Times New Roman" w:hAnsi="Bookman Old Style" w:cs="Times New Roman"/>
          <w:b/>
          <w:color w:val="171717" w:themeColor="background2" w:themeShade="1A"/>
          <w:sz w:val="28"/>
          <w:szCs w:val="28"/>
          <w:lang w:eastAsia="ru-RU"/>
        </w:rPr>
      </w:pPr>
    </w:p>
    <w:p w:rsidR="00E2543E" w:rsidRPr="009A21DA" w:rsidRDefault="00E2543E" w:rsidP="009B4C92">
      <w:pPr>
        <w:spacing w:after="0" w:line="276" w:lineRule="auto"/>
        <w:ind w:firstLine="709"/>
        <w:jc w:val="both"/>
        <w:rPr>
          <w:rFonts w:ascii="Bookman Old Style" w:eastAsia="Times New Roman" w:hAnsi="Bookman Old Style" w:cs="Times New Roman"/>
          <w:color w:val="171717" w:themeColor="background2" w:themeShade="1A"/>
          <w:sz w:val="28"/>
          <w:szCs w:val="28"/>
          <w:lang w:eastAsia="ru-RU"/>
        </w:rPr>
      </w:pPr>
      <w:r w:rsidRPr="009A21DA">
        <w:rPr>
          <w:rFonts w:ascii="Bookman Old Style" w:eastAsia="Times New Roman" w:hAnsi="Bookman Old Style" w:cs="Times New Roman"/>
          <w:color w:val="171717" w:themeColor="background2" w:themeShade="1A"/>
          <w:sz w:val="28"/>
          <w:szCs w:val="28"/>
          <w:lang w:eastAsia="ru-RU"/>
        </w:rPr>
        <w:t xml:space="preserve">Жилищный фонд Кочковского района представлен, в основном, одноэтажными индивидуальными домами с приусадебными участками. Лишь в </w:t>
      </w:r>
      <w:r w:rsidR="00EE5711" w:rsidRPr="009A21DA">
        <w:rPr>
          <w:rFonts w:ascii="Bookman Old Style" w:eastAsia="Times New Roman" w:hAnsi="Bookman Old Style" w:cs="Times New Roman"/>
          <w:color w:val="171717" w:themeColor="background2" w:themeShade="1A"/>
          <w:sz w:val="28"/>
          <w:szCs w:val="28"/>
          <w:lang w:eastAsia="ru-RU"/>
        </w:rPr>
        <w:t>четы</w:t>
      </w:r>
      <w:r w:rsidRPr="009A21DA">
        <w:rPr>
          <w:rFonts w:ascii="Bookman Old Style" w:eastAsia="Times New Roman" w:hAnsi="Bookman Old Style" w:cs="Times New Roman"/>
          <w:color w:val="171717" w:themeColor="background2" w:themeShade="1A"/>
          <w:sz w:val="28"/>
          <w:szCs w:val="28"/>
          <w:lang w:eastAsia="ru-RU"/>
        </w:rPr>
        <w:t xml:space="preserve">рех поселениях имеются многоквартирные жилые дома этажностью более одного. </w:t>
      </w:r>
    </w:p>
    <w:p w:rsidR="003A1559" w:rsidRPr="009A21DA" w:rsidRDefault="00E2543E" w:rsidP="009B4C92">
      <w:pPr>
        <w:spacing w:after="0" w:line="276" w:lineRule="auto"/>
        <w:ind w:firstLine="709"/>
        <w:jc w:val="both"/>
        <w:rPr>
          <w:rFonts w:ascii="Bookman Old Style" w:eastAsia="Times New Roman" w:hAnsi="Bookman Old Style" w:cs="Times New Roman"/>
          <w:color w:val="171717" w:themeColor="background2" w:themeShade="1A"/>
          <w:sz w:val="28"/>
          <w:szCs w:val="28"/>
          <w:lang w:eastAsia="ru-RU"/>
        </w:rPr>
      </w:pPr>
      <w:r w:rsidRPr="009A21DA">
        <w:rPr>
          <w:rFonts w:ascii="Bookman Old Style" w:eastAsia="Times New Roman" w:hAnsi="Bookman Old Style" w:cs="Times New Roman"/>
          <w:color w:val="171717" w:themeColor="background2" w:themeShade="1A"/>
          <w:sz w:val="28"/>
          <w:szCs w:val="28"/>
          <w:lang w:eastAsia="ru-RU"/>
        </w:rPr>
        <w:t>За 20</w:t>
      </w:r>
      <w:r w:rsidR="00D412B7" w:rsidRPr="009A21DA">
        <w:rPr>
          <w:rFonts w:ascii="Bookman Old Style" w:eastAsia="Times New Roman" w:hAnsi="Bookman Old Style" w:cs="Times New Roman"/>
          <w:color w:val="171717" w:themeColor="background2" w:themeShade="1A"/>
          <w:sz w:val="28"/>
          <w:szCs w:val="28"/>
          <w:lang w:eastAsia="ru-RU"/>
        </w:rPr>
        <w:t>2</w:t>
      </w:r>
      <w:r w:rsidR="00822522" w:rsidRPr="009A21DA">
        <w:rPr>
          <w:rFonts w:ascii="Bookman Old Style" w:eastAsia="Times New Roman" w:hAnsi="Bookman Old Style" w:cs="Times New Roman"/>
          <w:color w:val="171717" w:themeColor="background2" w:themeShade="1A"/>
          <w:sz w:val="28"/>
          <w:szCs w:val="28"/>
          <w:lang w:eastAsia="ru-RU"/>
        </w:rPr>
        <w:t>1</w:t>
      </w:r>
      <w:r w:rsidRPr="009A21DA">
        <w:rPr>
          <w:rFonts w:ascii="Bookman Old Style" w:eastAsia="Times New Roman" w:hAnsi="Bookman Old Style" w:cs="Times New Roman"/>
          <w:color w:val="171717" w:themeColor="background2" w:themeShade="1A"/>
          <w:sz w:val="28"/>
          <w:szCs w:val="28"/>
          <w:lang w:eastAsia="ru-RU"/>
        </w:rPr>
        <w:t xml:space="preserve"> год в эксплуатацию введено </w:t>
      </w:r>
      <w:r w:rsidR="00D412B7" w:rsidRPr="009A21DA">
        <w:rPr>
          <w:rFonts w:ascii="Bookman Old Style" w:eastAsia="Times New Roman" w:hAnsi="Bookman Old Style" w:cs="Times New Roman"/>
          <w:color w:val="171717" w:themeColor="background2" w:themeShade="1A"/>
          <w:sz w:val="28"/>
          <w:szCs w:val="28"/>
          <w:lang w:eastAsia="ru-RU"/>
        </w:rPr>
        <w:t>3</w:t>
      </w:r>
      <w:r w:rsidR="00822522" w:rsidRPr="009A21DA">
        <w:rPr>
          <w:rFonts w:ascii="Bookman Old Style" w:eastAsia="Times New Roman" w:hAnsi="Bookman Old Style" w:cs="Times New Roman"/>
          <w:color w:val="171717" w:themeColor="background2" w:themeShade="1A"/>
          <w:sz w:val="28"/>
          <w:szCs w:val="28"/>
          <w:lang w:eastAsia="ru-RU"/>
        </w:rPr>
        <w:t>5</w:t>
      </w:r>
      <w:r w:rsidR="00D412B7" w:rsidRPr="009A21DA">
        <w:rPr>
          <w:rFonts w:ascii="Bookman Old Style" w:eastAsia="Times New Roman" w:hAnsi="Bookman Old Style" w:cs="Times New Roman"/>
          <w:color w:val="171717" w:themeColor="background2" w:themeShade="1A"/>
          <w:sz w:val="28"/>
          <w:szCs w:val="28"/>
          <w:lang w:eastAsia="ru-RU"/>
        </w:rPr>
        <w:t>3</w:t>
      </w:r>
      <w:r w:rsidRPr="009A21DA">
        <w:rPr>
          <w:rFonts w:ascii="Bookman Old Style" w:eastAsia="Times New Roman" w:hAnsi="Bookman Old Style" w:cs="Times New Roman"/>
          <w:color w:val="171717" w:themeColor="background2" w:themeShade="1A"/>
          <w:sz w:val="28"/>
          <w:szCs w:val="28"/>
          <w:lang w:eastAsia="ru-RU"/>
        </w:rPr>
        <w:t xml:space="preserve"> квадратных метр</w:t>
      </w:r>
      <w:r w:rsidR="00D412B7" w:rsidRPr="009A21DA">
        <w:rPr>
          <w:rFonts w:ascii="Bookman Old Style" w:eastAsia="Times New Roman" w:hAnsi="Bookman Old Style" w:cs="Times New Roman"/>
          <w:color w:val="171717" w:themeColor="background2" w:themeShade="1A"/>
          <w:sz w:val="28"/>
          <w:szCs w:val="28"/>
          <w:lang w:eastAsia="ru-RU"/>
        </w:rPr>
        <w:t>а</w:t>
      </w:r>
      <w:r w:rsidRPr="009A21DA">
        <w:rPr>
          <w:rFonts w:ascii="Bookman Old Style" w:eastAsia="Times New Roman" w:hAnsi="Bookman Old Style" w:cs="Times New Roman"/>
          <w:color w:val="171717" w:themeColor="background2" w:themeShade="1A"/>
          <w:sz w:val="28"/>
          <w:szCs w:val="28"/>
          <w:lang w:eastAsia="ru-RU"/>
        </w:rPr>
        <w:t xml:space="preserve"> жилья. </w:t>
      </w:r>
    </w:p>
    <w:p w:rsidR="00E2543E" w:rsidRPr="009A21DA" w:rsidRDefault="00257AA2" w:rsidP="009B4C92">
      <w:pPr>
        <w:spacing w:after="0" w:line="276" w:lineRule="auto"/>
        <w:ind w:firstLine="709"/>
        <w:jc w:val="both"/>
        <w:rPr>
          <w:rFonts w:ascii="Bookman Old Style" w:eastAsia="Times New Roman" w:hAnsi="Bookman Old Style" w:cs="Times New Roman"/>
          <w:color w:val="171717" w:themeColor="background2" w:themeShade="1A"/>
          <w:sz w:val="28"/>
          <w:szCs w:val="28"/>
          <w:lang w:eastAsia="ru-RU"/>
        </w:rPr>
      </w:pPr>
      <w:r w:rsidRPr="009A21DA">
        <w:rPr>
          <w:rFonts w:ascii="Bookman Old Style" w:eastAsia="Times New Roman" w:hAnsi="Bookman Old Style" w:cs="Times New Roman"/>
          <w:color w:val="171717" w:themeColor="background2" w:themeShade="1A"/>
          <w:sz w:val="28"/>
          <w:szCs w:val="28"/>
          <w:lang w:eastAsia="ru-RU"/>
        </w:rPr>
        <w:t>В</w:t>
      </w:r>
      <w:r w:rsidR="00E2543E" w:rsidRPr="009A21DA">
        <w:rPr>
          <w:rFonts w:ascii="Bookman Old Style" w:eastAsia="Times New Roman" w:hAnsi="Bookman Old Style" w:cs="Times New Roman"/>
          <w:color w:val="171717" w:themeColor="background2" w:themeShade="1A"/>
          <w:sz w:val="28"/>
          <w:szCs w:val="28"/>
          <w:lang w:eastAsia="ru-RU"/>
        </w:rPr>
        <w:t xml:space="preserve"> рамках различных программ</w:t>
      </w:r>
      <w:r w:rsidR="00E737E1" w:rsidRPr="009A21DA">
        <w:rPr>
          <w:rFonts w:ascii="Bookman Old Style" w:eastAsia="Times New Roman" w:hAnsi="Bookman Old Style" w:cs="Times New Roman"/>
          <w:color w:val="171717" w:themeColor="background2" w:themeShade="1A"/>
          <w:sz w:val="28"/>
          <w:szCs w:val="28"/>
          <w:lang w:eastAsia="ru-RU"/>
        </w:rPr>
        <w:t>, направленных на</w:t>
      </w:r>
      <w:r w:rsidR="00E2543E" w:rsidRPr="009A21DA">
        <w:rPr>
          <w:rFonts w:ascii="Bookman Old Style" w:eastAsia="Times New Roman" w:hAnsi="Bookman Old Style" w:cs="Times New Roman"/>
          <w:color w:val="171717" w:themeColor="background2" w:themeShade="1A"/>
          <w:sz w:val="28"/>
          <w:szCs w:val="28"/>
          <w:lang w:eastAsia="ru-RU"/>
        </w:rPr>
        <w:t xml:space="preserve"> </w:t>
      </w:r>
      <w:r w:rsidR="00E737E1" w:rsidRPr="009A21DA">
        <w:rPr>
          <w:rFonts w:ascii="Bookman Old Style" w:eastAsia="Times New Roman" w:hAnsi="Bookman Old Style" w:cs="Times New Roman"/>
          <w:color w:val="171717" w:themeColor="background2" w:themeShade="1A"/>
          <w:sz w:val="28"/>
          <w:szCs w:val="28"/>
          <w:lang w:eastAsia="ru-RU"/>
        </w:rPr>
        <w:t>улучшение</w:t>
      </w:r>
      <w:r w:rsidRPr="009A21DA">
        <w:rPr>
          <w:rFonts w:ascii="Bookman Old Style" w:eastAsia="Times New Roman" w:hAnsi="Bookman Old Style" w:cs="Times New Roman"/>
          <w:color w:val="171717" w:themeColor="background2" w:themeShade="1A"/>
          <w:sz w:val="28"/>
          <w:szCs w:val="28"/>
          <w:lang w:eastAsia="ru-RU"/>
        </w:rPr>
        <w:t xml:space="preserve"> жилищных условий</w:t>
      </w:r>
      <w:r w:rsidR="005666BA" w:rsidRPr="009A21DA">
        <w:rPr>
          <w:rFonts w:ascii="Bookman Old Style" w:eastAsia="Times New Roman" w:hAnsi="Bookman Old Style" w:cs="Times New Roman"/>
          <w:color w:val="171717" w:themeColor="background2" w:themeShade="1A"/>
          <w:sz w:val="28"/>
          <w:szCs w:val="28"/>
          <w:lang w:eastAsia="ru-RU"/>
        </w:rPr>
        <w:t xml:space="preserve"> </w:t>
      </w:r>
      <w:r w:rsidR="00E737E1" w:rsidRPr="009A21DA">
        <w:rPr>
          <w:rFonts w:ascii="Bookman Old Style" w:eastAsia="Times New Roman" w:hAnsi="Bookman Old Style" w:cs="Times New Roman"/>
          <w:color w:val="171717" w:themeColor="background2" w:themeShade="1A"/>
          <w:sz w:val="28"/>
          <w:szCs w:val="28"/>
          <w:lang w:eastAsia="ru-RU"/>
        </w:rPr>
        <w:t>4 человека получили государственную поддержку</w:t>
      </w:r>
      <w:r w:rsidRPr="009A21DA">
        <w:rPr>
          <w:rFonts w:ascii="Bookman Old Style" w:eastAsia="Times New Roman" w:hAnsi="Bookman Old Style" w:cs="Times New Roman"/>
          <w:color w:val="171717" w:themeColor="background2" w:themeShade="1A"/>
          <w:sz w:val="28"/>
          <w:szCs w:val="28"/>
          <w:lang w:eastAsia="ru-RU"/>
        </w:rPr>
        <w:t>.</w:t>
      </w:r>
    </w:p>
    <w:p w:rsidR="00E2543E" w:rsidRPr="009A21DA" w:rsidRDefault="00E2543E" w:rsidP="009B4C92">
      <w:pPr>
        <w:spacing w:after="0" w:line="276" w:lineRule="auto"/>
        <w:ind w:firstLine="709"/>
        <w:jc w:val="both"/>
        <w:rPr>
          <w:rFonts w:ascii="Times New Roman" w:eastAsia="Times New Roman" w:hAnsi="Times New Roman" w:cs="Times New Roman"/>
          <w:sz w:val="28"/>
          <w:szCs w:val="28"/>
          <w:lang w:eastAsia="ru-RU"/>
        </w:rPr>
      </w:pPr>
    </w:p>
    <w:p w:rsidR="00676B0A" w:rsidRPr="009A21DA" w:rsidRDefault="00676B0A" w:rsidP="009B4C92">
      <w:pPr>
        <w:pStyle w:val="a8"/>
        <w:numPr>
          <w:ilvl w:val="0"/>
          <w:numId w:val="2"/>
        </w:numPr>
        <w:spacing w:line="276" w:lineRule="auto"/>
        <w:ind w:left="0" w:firstLine="709"/>
        <w:jc w:val="center"/>
        <w:rPr>
          <w:rFonts w:ascii="Bookman Old Style" w:hAnsi="Bookman Old Style"/>
          <w:b/>
          <w:color w:val="171717" w:themeColor="background2" w:themeShade="1A"/>
          <w:sz w:val="28"/>
          <w:szCs w:val="28"/>
        </w:rPr>
      </w:pPr>
      <w:r w:rsidRPr="009A21DA">
        <w:rPr>
          <w:rFonts w:ascii="Bookman Old Style" w:hAnsi="Bookman Old Style"/>
          <w:b/>
          <w:color w:val="171717" w:themeColor="background2" w:themeShade="1A"/>
          <w:sz w:val="28"/>
          <w:szCs w:val="28"/>
        </w:rPr>
        <w:t>Жилищно-коммунальное хозяйство</w:t>
      </w:r>
    </w:p>
    <w:p w:rsidR="00676B0A" w:rsidRPr="009A21DA" w:rsidRDefault="00676B0A" w:rsidP="009B4C92">
      <w:pPr>
        <w:spacing w:after="0" w:line="276" w:lineRule="auto"/>
        <w:ind w:firstLine="709"/>
        <w:jc w:val="both"/>
        <w:rPr>
          <w:rFonts w:ascii="Bookman Old Style" w:hAnsi="Bookman Old Style"/>
          <w:color w:val="171717" w:themeColor="background2" w:themeShade="1A"/>
          <w:sz w:val="28"/>
          <w:szCs w:val="28"/>
        </w:rPr>
      </w:pPr>
    </w:p>
    <w:p w:rsidR="00313917" w:rsidRPr="009A21DA" w:rsidRDefault="00313917" w:rsidP="00313917">
      <w:pPr>
        <w:spacing w:after="0" w:line="276" w:lineRule="auto"/>
        <w:ind w:firstLine="709"/>
        <w:jc w:val="both"/>
        <w:rPr>
          <w:rFonts w:ascii="Bookman Old Style" w:hAnsi="Bookman Old Style"/>
          <w:bCs/>
          <w:iCs/>
          <w:color w:val="171717" w:themeColor="background2" w:themeShade="1A"/>
          <w:sz w:val="28"/>
          <w:szCs w:val="28"/>
        </w:rPr>
      </w:pPr>
      <w:r w:rsidRPr="009A21DA">
        <w:rPr>
          <w:rFonts w:ascii="Bookman Old Style" w:hAnsi="Bookman Old Style"/>
          <w:bCs/>
          <w:iCs/>
          <w:color w:val="171717" w:themeColor="background2" w:themeShade="1A"/>
          <w:sz w:val="28"/>
          <w:szCs w:val="28"/>
        </w:rPr>
        <w:t xml:space="preserve">На подготовку объектов ЖКХ к отопительному сезону, а также ремонт водопроводных сетей направлено более 6 млн. рублей. Проведен текущий ремонт всех котельных, в 7 котельных заменены 10 водогрейных котлов, отремонтировано 1,5 км теплотрасс и 1,7 км водопроводных сетей. Контракты на поставку 14,3 тысяч тонн угля заключены на отопительный сезон у всех теплоснабжающих организаций.  В результате паспорт готовности района к отопительному периоду получен без задержек.  На расчеты за топливно-энергетические ресурсы Кочковскому району по подпрограмме «Безопасность жилищно-коммунального хозяйства» предоставлена субсидия в сумме 58,5 </w:t>
      </w:r>
      <w:r w:rsidRPr="009A21DA">
        <w:rPr>
          <w:rFonts w:ascii="Bookman Old Style" w:hAnsi="Bookman Old Style"/>
          <w:bCs/>
          <w:iCs/>
          <w:color w:val="171717" w:themeColor="background2" w:themeShade="1A"/>
          <w:sz w:val="28"/>
          <w:szCs w:val="28"/>
        </w:rPr>
        <w:lastRenderedPageBreak/>
        <w:t>млн. рублей. На сегодня район – один из немногих в области, не имеющих задолженности перед поставщиками угля.</w:t>
      </w:r>
    </w:p>
    <w:p w:rsidR="00E2543E" w:rsidRPr="009A21DA" w:rsidRDefault="00E2543E" w:rsidP="009B4C92">
      <w:pPr>
        <w:spacing w:after="0" w:line="276" w:lineRule="auto"/>
        <w:ind w:firstLine="709"/>
        <w:jc w:val="both"/>
        <w:rPr>
          <w:rFonts w:ascii="Bookman Old Style" w:hAnsi="Bookman Old Style" w:cs="Times New Roman"/>
          <w:color w:val="171717" w:themeColor="background2" w:themeShade="1A"/>
          <w:sz w:val="28"/>
          <w:szCs w:val="28"/>
        </w:rPr>
      </w:pPr>
    </w:p>
    <w:p w:rsidR="00522754" w:rsidRPr="009A21DA" w:rsidRDefault="00522754" w:rsidP="009B4C92">
      <w:pPr>
        <w:pStyle w:val="a8"/>
        <w:numPr>
          <w:ilvl w:val="0"/>
          <w:numId w:val="2"/>
        </w:numPr>
        <w:spacing w:line="276" w:lineRule="auto"/>
        <w:ind w:left="0" w:firstLine="709"/>
        <w:jc w:val="center"/>
        <w:rPr>
          <w:rFonts w:ascii="Bookman Old Style" w:hAnsi="Bookman Old Style"/>
          <w:b/>
          <w:color w:val="171717" w:themeColor="background2" w:themeShade="1A"/>
          <w:sz w:val="28"/>
          <w:szCs w:val="28"/>
        </w:rPr>
      </w:pPr>
      <w:r w:rsidRPr="009A21DA">
        <w:rPr>
          <w:rFonts w:ascii="Bookman Old Style" w:hAnsi="Bookman Old Style"/>
          <w:b/>
          <w:color w:val="171717" w:themeColor="background2" w:themeShade="1A"/>
          <w:sz w:val="28"/>
          <w:szCs w:val="28"/>
        </w:rPr>
        <w:t>Организация муниципального управления</w:t>
      </w:r>
    </w:p>
    <w:p w:rsidR="00522754" w:rsidRPr="009A21DA" w:rsidRDefault="00522754" w:rsidP="009B4C92">
      <w:pPr>
        <w:pStyle w:val="a8"/>
        <w:spacing w:line="276" w:lineRule="auto"/>
        <w:ind w:left="709"/>
        <w:rPr>
          <w:rFonts w:ascii="Bookman Old Style" w:hAnsi="Bookman Old Style"/>
          <w:b/>
          <w:color w:val="171717" w:themeColor="background2" w:themeShade="1A"/>
          <w:sz w:val="28"/>
          <w:szCs w:val="28"/>
        </w:rPr>
      </w:pPr>
    </w:p>
    <w:p w:rsidR="00522754" w:rsidRPr="009A21DA" w:rsidRDefault="00522754" w:rsidP="009B4C92">
      <w:pPr>
        <w:spacing w:after="0" w:line="276" w:lineRule="auto"/>
        <w:ind w:firstLine="709"/>
        <w:jc w:val="both"/>
        <w:rPr>
          <w:rFonts w:ascii="Bookman Old Style" w:hAnsi="Bookman Old Style"/>
          <w:color w:val="171717" w:themeColor="background2" w:themeShade="1A"/>
          <w:sz w:val="28"/>
          <w:szCs w:val="28"/>
        </w:rPr>
      </w:pPr>
      <w:r w:rsidRPr="009A21DA">
        <w:rPr>
          <w:rFonts w:ascii="Bookman Old Style" w:hAnsi="Bookman Old Style"/>
          <w:color w:val="171717" w:themeColor="background2" w:themeShade="1A"/>
          <w:sz w:val="28"/>
          <w:szCs w:val="28"/>
        </w:rPr>
        <w:t>Одним из важнейших направлений деятельности органов местного самоуправления является формирование финансово-экономической политики района.</w:t>
      </w:r>
    </w:p>
    <w:p w:rsidR="00F941B6" w:rsidRPr="009A21DA" w:rsidRDefault="00313917" w:rsidP="009B4C92">
      <w:pPr>
        <w:spacing w:after="0" w:line="276" w:lineRule="auto"/>
        <w:ind w:firstLine="709"/>
        <w:jc w:val="both"/>
        <w:rPr>
          <w:rFonts w:ascii="Bookman Old Style" w:hAnsi="Bookman Old Style"/>
          <w:color w:val="171717" w:themeColor="background2" w:themeShade="1A"/>
          <w:sz w:val="28"/>
          <w:szCs w:val="28"/>
        </w:rPr>
      </w:pPr>
      <w:r w:rsidRPr="009A21DA">
        <w:rPr>
          <w:rFonts w:ascii="Bookman Old Style" w:hAnsi="Bookman Old Style"/>
          <w:noProof/>
          <w:color w:val="171717" w:themeColor="background2" w:themeShade="1A"/>
          <w:sz w:val="24"/>
          <w:szCs w:val="24"/>
          <w:lang w:eastAsia="ru-RU"/>
        </w:rPr>
        <mc:AlternateContent>
          <mc:Choice Requires="wps">
            <w:drawing>
              <wp:anchor distT="91440" distB="91440" distL="228600" distR="91440" simplePos="0" relativeHeight="251663360" behindDoc="0" locked="0" layoutInCell="0" allowOverlap="1" wp14:anchorId="0F32884F" wp14:editId="20A3F71F">
                <wp:simplePos x="0" y="0"/>
                <wp:positionH relativeFrom="margin">
                  <wp:posOffset>3300565</wp:posOffset>
                </wp:positionH>
                <wp:positionV relativeFrom="margin">
                  <wp:posOffset>3971400</wp:posOffset>
                </wp:positionV>
                <wp:extent cx="2844800" cy="1407160"/>
                <wp:effectExtent l="0" t="0" r="0" b="0"/>
                <wp:wrapSquare wrapText="bothSides"/>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140716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522754" w:rsidRPr="000C43D6" w:rsidRDefault="00522754" w:rsidP="00522754">
                            <w:pPr>
                              <w:pBdr>
                                <w:top w:val="single" w:sz="4" w:space="5"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0C43D6">
                              <w:rPr>
                                <w:rFonts w:ascii="Bookman Old Style" w:hAnsi="Bookman Old Style"/>
                                <w:i/>
                                <w:color w:val="FFFFFF" w:themeColor="background1"/>
                                <w:sz w:val="28"/>
                                <w:szCs w:val="28"/>
                              </w:rPr>
                              <w:t>Доход консолидированного бюджета Кочковского района в 20</w:t>
                            </w:r>
                            <w:r w:rsidR="005F31FB">
                              <w:rPr>
                                <w:rFonts w:ascii="Bookman Old Style" w:hAnsi="Bookman Old Style"/>
                                <w:i/>
                                <w:color w:val="FFFFFF" w:themeColor="background1"/>
                                <w:sz w:val="28"/>
                                <w:szCs w:val="28"/>
                              </w:rPr>
                              <w:t>2</w:t>
                            </w:r>
                            <w:r w:rsidR="00721782">
                              <w:rPr>
                                <w:rFonts w:ascii="Bookman Old Style" w:hAnsi="Bookman Old Style"/>
                                <w:i/>
                                <w:color w:val="FFFFFF" w:themeColor="background1"/>
                                <w:sz w:val="28"/>
                                <w:szCs w:val="28"/>
                              </w:rPr>
                              <w:t>1</w:t>
                            </w:r>
                            <w:r w:rsidRPr="000C43D6">
                              <w:rPr>
                                <w:rFonts w:ascii="Bookman Old Style" w:hAnsi="Bookman Old Style"/>
                                <w:i/>
                                <w:color w:val="FFFFFF" w:themeColor="background1"/>
                                <w:sz w:val="28"/>
                                <w:szCs w:val="28"/>
                              </w:rPr>
                              <w:t xml:space="preserve"> году составил </w:t>
                            </w:r>
                            <w:r w:rsidR="00721782">
                              <w:rPr>
                                <w:rFonts w:ascii="Bookman Old Style" w:hAnsi="Bookman Old Style"/>
                                <w:i/>
                                <w:color w:val="FFFFFF" w:themeColor="background1"/>
                                <w:sz w:val="28"/>
                                <w:szCs w:val="28"/>
                              </w:rPr>
                              <w:t>841,9</w:t>
                            </w:r>
                            <w:r w:rsidRPr="000C43D6">
                              <w:rPr>
                                <w:rFonts w:ascii="Bookman Old Style" w:hAnsi="Bookman Old Style"/>
                                <w:i/>
                                <w:color w:val="FFFFFF" w:themeColor="background1"/>
                                <w:sz w:val="28"/>
                                <w:szCs w:val="28"/>
                              </w:rPr>
                              <w:t xml:space="preserve"> млн.</w:t>
                            </w:r>
                            <w:r w:rsidR="00EE1B1C">
                              <w:rPr>
                                <w:rFonts w:ascii="Bookman Old Style" w:hAnsi="Bookman Old Style"/>
                                <w:i/>
                                <w:color w:val="FFFFFF" w:themeColor="background1"/>
                                <w:sz w:val="28"/>
                                <w:szCs w:val="28"/>
                              </w:rPr>
                              <w:t xml:space="preserve"> </w:t>
                            </w:r>
                            <w:r w:rsidRPr="000C43D6">
                              <w:rPr>
                                <w:rFonts w:ascii="Bookman Old Style" w:hAnsi="Bookman Old Style"/>
                                <w:i/>
                                <w:color w:val="FFFFFF" w:themeColor="background1"/>
                                <w:sz w:val="28"/>
                                <w:szCs w:val="28"/>
                              </w:rPr>
                              <w:t>рублей</w:t>
                            </w:r>
                          </w:p>
                          <w:p w:rsidR="00522754" w:rsidRDefault="00522754" w:rsidP="00522754">
                            <w:pPr>
                              <w:rPr>
                                <w:i/>
                                <w:iCs/>
                                <w:color w:val="FFFFFF" w:themeColor="background1"/>
                                <w:sz w:val="28"/>
                                <w:szCs w:val="28"/>
                              </w:rPr>
                            </w:pPr>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32884F" id="Прямоугольник 11" o:spid="_x0000_s1027" style="position:absolute;left:0;text-align:left;margin-left:259.9pt;margin-top:312.7pt;width:224pt;height:110.8pt;z-index:251663360;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" o:allowincell="f" filled="f" stroked="f">
                <v:textbox inset="16.56pt,7.2pt,16.56pt,7.2pt">
                  <w:txbxContent>
                    <w:p w:rsidR="00522754" w:rsidRPr="000C43D6" w:rsidRDefault="00522754" w:rsidP="00522754">
                      <w:pPr>
                        <w:pBdr>
                          <w:top w:val="single" w:sz="4" w:space="5"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0C43D6">
                        <w:rPr>
                          <w:rFonts w:ascii="Bookman Old Style" w:hAnsi="Bookman Old Style"/>
                          <w:i/>
                          <w:color w:val="FFFFFF" w:themeColor="background1"/>
                          <w:sz w:val="28"/>
                          <w:szCs w:val="28"/>
                        </w:rPr>
                        <w:t>Доход консолидированного бюджета Кочковского района в 20</w:t>
                      </w:r>
                      <w:r w:rsidR="005F31FB">
                        <w:rPr>
                          <w:rFonts w:ascii="Bookman Old Style" w:hAnsi="Bookman Old Style"/>
                          <w:i/>
                          <w:color w:val="FFFFFF" w:themeColor="background1"/>
                          <w:sz w:val="28"/>
                          <w:szCs w:val="28"/>
                        </w:rPr>
                        <w:t>2</w:t>
                      </w:r>
                      <w:r w:rsidR="00721782">
                        <w:rPr>
                          <w:rFonts w:ascii="Bookman Old Style" w:hAnsi="Bookman Old Style"/>
                          <w:i/>
                          <w:color w:val="FFFFFF" w:themeColor="background1"/>
                          <w:sz w:val="28"/>
                          <w:szCs w:val="28"/>
                        </w:rPr>
                        <w:t>1</w:t>
                      </w:r>
                      <w:r w:rsidRPr="000C43D6">
                        <w:rPr>
                          <w:rFonts w:ascii="Bookman Old Style" w:hAnsi="Bookman Old Style"/>
                          <w:i/>
                          <w:color w:val="FFFFFF" w:themeColor="background1"/>
                          <w:sz w:val="28"/>
                          <w:szCs w:val="28"/>
                        </w:rPr>
                        <w:t xml:space="preserve"> году составил </w:t>
                      </w:r>
                      <w:r w:rsidR="00721782">
                        <w:rPr>
                          <w:rFonts w:ascii="Bookman Old Style" w:hAnsi="Bookman Old Style"/>
                          <w:i/>
                          <w:color w:val="FFFFFF" w:themeColor="background1"/>
                          <w:sz w:val="28"/>
                          <w:szCs w:val="28"/>
                        </w:rPr>
                        <w:t>841,9</w:t>
                      </w:r>
                      <w:r w:rsidRPr="000C43D6">
                        <w:rPr>
                          <w:rFonts w:ascii="Bookman Old Style" w:hAnsi="Bookman Old Style"/>
                          <w:i/>
                          <w:color w:val="FFFFFF" w:themeColor="background1"/>
                          <w:sz w:val="28"/>
                          <w:szCs w:val="28"/>
                        </w:rPr>
                        <w:t xml:space="preserve"> млн.</w:t>
                      </w:r>
                      <w:r w:rsidR="00EE1B1C">
                        <w:rPr>
                          <w:rFonts w:ascii="Bookman Old Style" w:hAnsi="Bookman Old Style"/>
                          <w:i/>
                          <w:color w:val="FFFFFF" w:themeColor="background1"/>
                          <w:sz w:val="28"/>
                          <w:szCs w:val="28"/>
                        </w:rPr>
                        <w:t xml:space="preserve"> </w:t>
                      </w:r>
                      <w:r w:rsidRPr="000C43D6">
                        <w:rPr>
                          <w:rFonts w:ascii="Bookman Old Style" w:hAnsi="Bookman Old Style"/>
                          <w:i/>
                          <w:color w:val="FFFFFF" w:themeColor="background1"/>
                          <w:sz w:val="28"/>
                          <w:szCs w:val="28"/>
                        </w:rPr>
                        <w:t>рублей</w:t>
                      </w:r>
                    </w:p>
                    <w:p w:rsidR="00522754" w:rsidRDefault="00522754" w:rsidP="00522754">
                      <w:pPr>
                        <w:rPr>
                          <w:i/>
                          <w:iCs/>
                          <w:color w:val="FFFFFF" w:themeColor="background1"/>
                          <w:sz w:val="28"/>
                          <w:szCs w:val="28"/>
                        </w:rPr>
                      </w:pPr>
                    </w:p>
                  </w:txbxContent>
                </v:textbox>
                <w10:wrap type="square" anchorx="margin" anchory="margin"/>
              </v:rect>
            </w:pict>
          </mc:Fallback>
        </mc:AlternateContent>
      </w:r>
      <w:r w:rsidR="00522754" w:rsidRPr="009A21DA">
        <w:rPr>
          <w:rFonts w:ascii="Bookman Old Style" w:hAnsi="Bookman Old Style"/>
          <w:color w:val="171717" w:themeColor="background2" w:themeShade="1A"/>
          <w:sz w:val="28"/>
          <w:szCs w:val="28"/>
        </w:rPr>
        <w:t>В состав консолидированного бюджета Кочковского района входят 10 бюджетов муниципальных поселений и бюджет муниципального района.</w:t>
      </w:r>
    </w:p>
    <w:p w:rsidR="00522754" w:rsidRPr="009A21DA" w:rsidRDefault="00522754" w:rsidP="009B4C92">
      <w:pPr>
        <w:spacing w:after="0" w:line="276" w:lineRule="auto"/>
        <w:ind w:firstLine="709"/>
        <w:jc w:val="both"/>
        <w:rPr>
          <w:rFonts w:ascii="Bookman Old Style" w:hAnsi="Bookman Old Style"/>
          <w:color w:val="171717" w:themeColor="background2" w:themeShade="1A"/>
          <w:sz w:val="28"/>
          <w:szCs w:val="28"/>
        </w:rPr>
      </w:pPr>
      <w:r w:rsidRPr="009A21DA">
        <w:rPr>
          <w:rFonts w:ascii="Bookman Old Style" w:hAnsi="Bookman Old Style"/>
          <w:color w:val="171717" w:themeColor="background2" w:themeShade="1A"/>
          <w:sz w:val="28"/>
          <w:szCs w:val="28"/>
        </w:rPr>
        <w:t>Доход консолидированного бюджета в 20</w:t>
      </w:r>
      <w:r w:rsidR="001F7CB5" w:rsidRPr="009A21DA">
        <w:rPr>
          <w:rFonts w:ascii="Bookman Old Style" w:hAnsi="Bookman Old Style"/>
          <w:color w:val="171717" w:themeColor="background2" w:themeShade="1A"/>
          <w:sz w:val="28"/>
          <w:szCs w:val="28"/>
        </w:rPr>
        <w:t>2</w:t>
      </w:r>
      <w:r w:rsidR="00721782" w:rsidRPr="009A21DA">
        <w:rPr>
          <w:rFonts w:ascii="Bookman Old Style" w:hAnsi="Bookman Old Style"/>
          <w:color w:val="171717" w:themeColor="background2" w:themeShade="1A"/>
          <w:sz w:val="28"/>
          <w:szCs w:val="28"/>
        </w:rPr>
        <w:t>1</w:t>
      </w:r>
      <w:r w:rsidRPr="009A21DA">
        <w:rPr>
          <w:rFonts w:ascii="Bookman Old Style" w:hAnsi="Bookman Old Style"/>
          <w:color w:val="171717" w:themeColor="background2" w:themeShade="1A"/>
          <w:sz w:val="28"/>
          <w:szCs w:val="28"/>
        </w:rPr>
        <w:t xml:space="preserve"> году составил </w:t>
      </w:r>
      <w:r w:rsidR="00721782" w:rsidRPr="009A21DA">
        <w:rPr>
          <w:rFonts w:ascii="Bookman Old Style" w:hAnsi="Bookman Old Style"/>
          <w:color w:val="171717" w:themeColor="background2" w:themeShade="1A"/>
          <w:sz w:val="28"/>
          <w:szCs w:val="28"/>
        </w:rPr>
        <w:t>841,9</w:t>
      </w:r>
      <w:r w:rsidRPr="009A21DA">
        <w:rPr>
          <w:rFonts w:ascii="Bookman Old Style" w:hAnsi="Bookman Old Style"/>
          <w:color w:val="171717" w:themeColor="background2" w:themeShade="1A"/>
          <w:sz w:val="28"/>
          <w:szCs w:val="28"/>
        </w:rPr>
        <w:t xml:space="preserve"> млн. рублей, или </w:t>
      </w:r>
      <w:r w:rsidR="00721782" w:rsidRPr="009A21DA">
        <w:rPr>
          <w:rFonts w:ascii="Bookman Old Style" w:hAnsi="Bookman Old Style"/>
          <w:color w:val="171717" w:themeColor="background2" w:themeShade="1A"/>
          <w:sz w:val="28"/>
          <w:szCs w:val="28"/>
        </w:rPr>
        <w:t>125</w:t>
      </w:r>
      <w:r w:rsidRPr="009A21DA">
        <w:rPr>
          <w:rFonts w:ascii="Bookman Old Style" w:hAnsi="Bookman Old Style"/>
          <w:color w:val="171717" w:themeColor="background2" w:themeShade="1A"/>
          <w:sz w:val="28"/>
          <w:szCs w:val="28"/>
        </w:rPr>
        <w:t xml:space="preserve"> % к уровню 20</w:t>
      </w:r>
      <w:r w:rsidR="00721782" w:rsidRPr="009A21DA">
        <w:rPr>
          <w:rFonts w:ascii="Bookman Old Style" w:hAnsi="Bookman Old Style"/>
          <w:color w:val="171717" w:themeColor="background2" w:themeShade="1A"/>
          <w:sz w:val="28"/>
          <w:szCs w:val="28"/>
        </w:rPr>
        <w:t>20</w:t>
      </w:r>
      <w:r w:rsidRPr="009A21DA">
        <w:rPr>
          <w:rFonts w:ascii="Bookman Old Style" w:hAnsi="Bookman Old Style"/>
          <w:color w:val="171717" w:themeColor="background2" w:themeShade="1A"/>
          <w:sz w:val="28"/>
          <w:szCs w:val="28"/>
        </w:rPr>
        <w:t xml:space="preserve"> года. Налоговых и неналоговых доходов в целом по району поступило </w:t>
      </w:r>
      <w:r w:rsidR="00E52701" w:rsidRPr="009A21DA">
        <w:rPr>
          <w:rFonts w:ascii="Bookman Old Style" w:hAnsi="Bookman Old Style"/>
          <w:color w:val="171717" w:themeColor="background2" w:themeShade="1A"/>
          <w:sz w:val="28"/>
          <w:szCs w:val="28"/>
        </w:rPr>
        <w:t xml:space="preserve">в размере </w:t>
      </w:r>
      <w:r w:rsidR="001F7CB5" w:rsidRPr="009A21DA">
        <w:rPr>
          <w:rFonts w:ascii="Bookman Old Style" w:hAnsi="Bookman Old Style"/>
          <w:color w:val="171717" w:themeColor="background2" w:themeShade="1A"/>
          <w:sz w:val="28"/>
          <w:szCs w:val="28"/>
        </w:rPr>
        <w:t>1</w:t>
      </w:r>
      <w:r w:rsidR="00721782" w:rsidRPr="009A21DA">
        <w:rPr>
          <w:rFonts w:ascii="Bookman Old Style" w:hAnsi="Bookman Old Style"/>
          <w:color w:val="171717" w:themeColor="background2" w:themeShade="1A"/>
          <w:sz w:val="28"/>
          <w:szCs w:val="28"/>
        </w:rPr>
        <w:t>27</w:t>
      </w:r>
      <w:r w:rsidRPr="009A21DA">
        <w:rPr>
          <w:rFonts w:ascii="Bookman Old Style" w:hAnsi="Bookman Old Style"/>
          <w:color w:val="171717" w:themeColor="background2" w:themeShade="1A"/>
          <w:sz w:val="28"/>
          <w:szCs w:val="28"/>
        </w:rPr>
        <w:t xml:space="preserve"> млн. рублей.</w:t>
      </w:r>
    </w:p>
    <w:p w:rsidR="00522754" w:rsidRPr="009A21DA" w:rsidRDefault="00522754" w:rsidP="009B4C92">
      <w:pPr>
        <w:spacing w:after="0" w:line="276" w:lineRule="auto"/>
        <w:ind w:firstLine="709"/>
        <w:jc w:val="both"/>
        <w:rPr>
          <w:rFonts w:ascii="Bookman Old Style" w:hAnsi="Bookman Old Style"/>
          <w:color w:val="171717" w:themeColor="background2" w:themeShade="1A"/>
          <w:sz w:val="28"/>
          <w:szCs w:val="28"/>
        </w:rPr>
      </w:pPr>
      <w:r w:rsidRPr="009A21DA">
        <w:rPr>
          <w:rFonts w:ascii="Bookman Old Style" w:hAnsi="Bookman Old Style"/>
          <w:color w:val="171717" w:themeColor="background2" w:themeShade="1A"/>
          <w:sz w:val="28"/>
          <w:szCs w:val="28"/>
        </w:rPr>
        <w:t>Расходная часть консолидированного бюджета района формир</w:t>
      </w:r>
      <w:r w:rsidR="00436A10" w:rsidRPr="009A21DA">
        <w:rPr>
          <w:rFonts w:ascii="Bookman Old Style" w:hAnsi="Bookman Old Style"/>
          <w:color w:val="171717" w:themeColor="background2" w:themeShade="1A"/>
          <w:sz w:val="28"/>
          <w:szCs w:val="28"/>
        </w:rPr>
        <w:t>уется исходя из доходной части,</w:t>
      </w:r>
      <w:r w:rsidRPr="009A21DA">
        <w:rPr>
          <w:rFonts w:ascii="Bookman Old Style" w:hAnsi="Bookman Old Style"/>
          <w:color w:val="171717" w:themeColor="background2" w:themeShade="1A"/>
          <w:sz w:val="28"/>
          <w:szCs w:val="28"/>
        </w:rPr>
        <w:t xml:space="preserve"> объемов поступлений из областного бюджета</w:t>
      </w:r>
      <w:r w:rsidR="00436A10" w:rsidRPr="009A21DA">
        <w:rPr>
          <w:rFonts w:ascii="Bookman Old Style" w:hAnsi="Bookman Old Style"/>
          <w:color w:val="171717" w:themeColor="background2" w:themeShade="1A"/>
          <w:sz w:val="28"/>
          <w:szCs w:val="28"/>
        </w:rPr>
        <w:t>, а также из неизрасходованных средств предыдущего финансового года</w:t>
      </w:r>
      <w:r w:rsidRPr="009A21DA">
        <w:rPr>
          <w:rFonts w:ascii="Bookman Old Style" w:hAnsi="Bookman Old Style"/>
          <w:color w:val="171717" w:themeColor="background2" w:themeShade="1A"/>
          <w:sz w:val="28"/>
          <w:szCs w:val="28"/>
        </w:rPr>
        <w:t>.</w:t>
      </w:r>
    </w:p>
    <w:p w:rsidR="00522754" w:rsidRPr="009A21DA" w:rsidRDefault="00522754" w:rsidP="009B4C92">
      <w:pPr>
        <w:spacing w:after="0" w:line="276" w:lineRule="auto"/>
        <w:ind w:firstLine="709"/>
        <w:jc w:val="both"/>
        <w:rPr>
          <w:rFonts w:ascii="Bookman Old Style" w:hAnsi="Bookman Old Style"/>
          <w:color w:val="171717" w:themeColor="background2" w:themeShade="1A"/>
          <w:sz w:val="28"/>
          <w:szCs w:val="28"/>
        </w:rPr>
      </w:pPr>
      <w:r w:rsidRPr="009A21DA">
        <w:rPr>
          <w:rFonts w:ascii="Bookman Old Style" w:hAnsi="Bookman Old Style"/>
          <w:color w:val="171717" w:themeColor="background2" w:themeShade="1A"/>
          <w:sz w:val="28"/>
          <w:szCs w:val="28"/>
        </w:rPr>
        <w:t>Из общей суммы расходной части консолидированного бюджета (</w:t>
      </w:r>
      <w:r w:rsidR="00721782" w:rsidRPr="009A21DA">
        <w:rPr>
          <w:rFonts w:ascii="Bookman Old Style" w:hAnsi="Bookman Old Style"/>
          <w:color w:val="171717" w:themeColor="background2" w:themeShade="1A"/>
          <w:sz w:val="28"/>
          <w:szCs w:val="28"/>
        </w:rPr>
        <w:t>800</w:t>
      </w:r>
      <w:r w:rsidRPr="009A21DA">
        <w:rPr>
          <w:rFonts w:ascii="Bookman Old Style" w:hAnsi="Bookman Old Style"/>
          <w:color w:val="171717" w:themeColor="background2" w:themeShade="1A"/>
          <w:sz w:val="28"/>
          <w:szCs w:val="28"/>
        </w:rPr>
        <w:t xml:space="preserve"> млн. рублей) израсходовано на образование </w:t>
      </w:r>
      <w:r w:rsidR="00721782" w:rsidRPr="009A21DA">
        <w:rPr>
          <w:rFonts w:ascii="Bookman Old Style" w:hAnsi="Bookman Old Style"/>
          <w:color w:val="171717" w:themeColor="background2" w:themeShade="1A"/>
          <w:sz w:val="28"/>
          <w:szCs w:val="28"/>
        </w:rPr>
        <w:t>362</w:t>
      </w:r>
      <w:r w:rsidRPr="009A21DA">
        <w:rPr>
          <w:rFonts w:ascii="Bookman Old Style" w:hAnsi="Bookman Old Style"/>
          <w:color w:val="171717" w:themeColor="background2" w:themeShade="1A"/>
          <w:sz w:val="28"/>
          <w:szCs w:val="28"/>
        </w:rPr>
        <w:t xml:space="preserve"> млн. рублей, на ЖКХ </w:t>
      </w:r>
      <w:r w:rsidR="00721782" w:rsidRPr="009A21DA">
        <w:rPr>
          <w:rFonts w:ascii="Bookman Old Style" w:hAnsi="Bookman Old Style"/>
          <w:color w:val="171717" w:themeColor="background2" w:themeShade="1A"/>
          <w:sz w:val="28"/>
          <w:szCs w:val="28"/>
        </w:rPr>
        <w:t>118,4</w:t>
      </w:r>
      <w:r w:rsidRPr="009A21DA">
        <w:rPr>
          <w:rFonts w:ascii="Bookman Old Style" w:hAnsi="Bookman Old Style"/>
          <w:color w:val="171717" w:themeColor="background2" w:themeShade="1A"/>
          <w:sz w:val="28"/>
          <w:szCs w:val="28"/>
        </w:rPr>
        <w:t xml:space="preserve"> млн. рублей, </w:t>
      </w:r>
      <w:r w:rsidR="00721782" w:rsidRPr="009A21DA">
        <w:rPr>
          <w:rFonts w:ascii="Bookman Old Style" w:hAnsi="Bookman Old Style"/>
          <w:color w:val="171717" w:themeColor="background2" w:themeShade="1A"/>
          <w:sz w:val="28"/>
          <w:szCs w:val="28"/>
        </w:rPr>
        <w:t>78</w:t>
      </w:r>
      <w:r w:rsidR="000C43D6" w:rsidRPr="009A21DA">
        <w:rPr>
          <w:rFonts w:ascii="Bookman Old Style" w:hAnsi="Bookman Old Style"/>
          <w:color w:val="171717" w:themeColor="background2" w:themeShade="1A"/>
          <w:sz w:val="28"/>
          <w:szCs w:val="28"/>
        </w:rPr>
        <w:t xml:space="preserve"> млн. рублей на культуру и пр</w:t>
      </w:r>
      <w:r w:rsidRPr="009A21DA">
        <w:rPr>
          <w:rFonts w:ascii="Bookman Old Style" w:hAnsi="Bookman Old Style"/>
          <w:color w:val="171717" w:themeColor="background2" w:themeShade="1A"/>
          <w:sz w:val="28"/>
          <w:szCs w:val="28"/>
        </w:rPr>
        <w:t xml:space="preserve">. </w:t>
      </w:r>
    </w:p>
    <w:p w:rsidR="000C43D6" w:rsidRPr="009A21DA" w:rsidRDefault="00522754" w:rsidP="009B4C92">
      <w:pPr>
        <w:spacing w:after="0" w:line="276" w:lineRule="auto"/>
        <w:ind w:firstLine="709"/>
        <w:jc w:val="both"/>
        <w:rPr>
          <w:rFonts w:ascii="Bookman Old Style" w:hAnsi="Bookman Old Style" w:cs="Times New Roman"/>
          <w:color w:val="171717" w:themeColor="background2" w:themeShade="1A"/>
          <w:sz w:val="28"/>
          <w:szCs w:val="28"/>
        </w:rPr>
      </w:pPr>
      <w:r w:rsidRPr="009A21DA">
        <w:rPr>
          <w:rFonts w:ascii="Bookman Old Style" w:hAnsi="Bookman Old Style"/>
          <w:color w:val="171717" w:themeColor="background2" w:themeShade="1A"/>
          <w:sz w:val="28"/>
          <w:szCs w:val="28"/>
        </w:rPr>
        <w:t xml:space="preserve">Экономическая ситуация отразилась и на наполняемости муниципальных бюджетов. Остались актуальными задержки по платежам в бюджеты всех уровней хозяйствующими субъектами. </w:t>
      </w:r>
      <w:r w:rsidR="00991F0E" w:rsidRPr="009A21DA">
        <w:rPr>
          <w:rFonts w:ascii="Bookman Old Style" w:hAnsi="Bookman Old Style"/>
          <w:color w:val="171717" w:themeColor="background2" w:themeShade="1A"/>
          <w:sz w:val="28"/>
          <w:szCs w:val="28"/>
        </w:rPr>
        <w:t>В 2021 году заседания комиссии не проводились, работа по урегулированию задолженности велась дистанционно.</w:t>
      </w:r>
      <w:r w:rsidRPr="009A21DA">
        <w:rPr>
          <w:rFonts w:ascii="Bookman Old Style" w:hAnsi="Bookman Old Style"/>
          <w:color w:val="171717" w:themeColor="background2" w:themeShade="1A"/>
          <w:sz w:val="28"/>
          <w:szCs w:val="28"/>
        </w:rPr>
        <w:t xml:space="preserve"> </w:t>
      </w:r>
      <w:r w:rsidR="00991F0E" w:rsidRPr="009A21DA">
        <w:rPr>
          <w:rFonts w:ascii="Bookman Old Style" w:hAnsi="Bookman Old Style"/>
          <w:color w:val="171717" w:themeColor="background2" w:themeShade="1A"/>
          <w:sz w:val="28"/>
          <w:szCs w:val="28"/>
        </w:rPr>
        <w:t xml:space="preserve">В числе должников числились </w:t>
      </w:r>
      <w:r w:rsidR="001D311B" w:rsidRPr="009A21DA">
        <w:rPr>
          <w:rFonts w:ascii="Bookman Old Style" w:hAnsi="Bookman Old Style"/>
          <w:color w:val="171717" w:themeColor="background2" w:themeShade="1A"/>
          <w:sz w:val="28"/>
          <w:szCs w:val="28"/>
        </w:rPr>
        <w:t>23</w:t>
      </w:r>
      <w:r w:rsidR="000C43D6" w:rsidRPr="009A21DA">
        <w:rPr>
          <w:rFonts w:ascii="Bookman Old Style" w:hAnsi="Bookman Old Style" w:cs="Times New Roman"/>
          <w:color w:val="171717" w:themeColor="background2" w:themeShade="1A"/>
          <w:sz w:val="28"/>
          <w:szCs w:val="28"/>
        </w:rPr>
        <w:t xml:space="preserve"> налоговы</w:t>
      </w:r>
      <w:r w:rsidR="00F71372" w:rsidRPr="009A21DA">
        <w:rPr>
          <w:rFonts w:ascii="Bookman Old Style" w:hAnsi="Bookman Old Style" w:cs="Times New Roman"/>
          <w:color w:val="171717" w:themeColor="background2" w:themeShade="1A"/>
          <w:sz w:val="28"/>
          <w:szCs w:val="28"/>
        </w:rPr>
        <w:t>х</w:t>
      </w:r>
      <w:r w:rsidR="000C43D6" w:rsidRPr="009A21DA">
        <w:rPr>
          <w:rFonts w:ascii="Bookman Old Style" w:hAnsi="Bookman Old Style" w:cs="Times New Roman"/>
          <w:color w:val="171717" w:themeColor="background2" w:themeShade="1A"/>
          <w:sz w:val="28"/>
          <w:szCs w:val="28"/>
        </w:rPr>
        <w:t xml:space="preserve"> агент</w:t>
      </w:r>
      <w:r w:rsidR="00991F0E" w:rsidRPr="009A21DA">
        <w:rPr>
          <w:rFonts w:ascii="Bookman Old Style" w:hAnsi="Bookman Old Style" w:cs="Times New Roman"/>
          <w:color w:val="171717" w:themeColor="background2" w:themeShade="1A"/>
          <w:sz w:val="28"/>
          <w:szCs w:val="28"/>
        </w:rPr>
        <w:t>а</w:t>
      </w:r>
      <w:r w:rsidR="00DC303C" w:rsidRPr="009A21DA">
        <w:rPr>
          <w:rFonts w:ascii="Bookman Old Style" w:hAnsi="Bookman Old Style" w:cs="Times New Roman"/>
          <w:color w:val="171717" w:themeColor="background2" w:themeShade="1A"/>
          <w:sz w:val="28"/>
          <w:szCs w:val="28"/>
        </w:rPr>
        <w:t xml:space="preserve">, в результате </w:t>
      </w:r>
      <w:r w:rsidR="00991F0E" w:rsidRPr="009A21DA">
        <w:rPr>
          <w:rFonts w:ascii="Bookman Old Style" w:hAnsi="Bookman Old Style" w:cs="Times New Roman"/>
          <w:color w:val="171717" w:themeColor="background2" w:themeShade="1A"/>
          <w:sz w:val="28"/>
          <w:szCs w:val="28"/>
        </w:rPr>
        <w:t>работы с которыми погашена</w:t>
      </w:r>
      <w:r w:rsidR="00DC303C" w:rsidRPr="009A21DA">
        <w:rPr>
          <w:rFonts w:ascii="Bookman Old Style" w:hAnsi="Bookman Old Style" w:cs="Times New Roman"/>
          <w:color w:val="171717" w:themeColor="background2" w:themeShade="1A"/>
          <w:sz w:val="28"/>
          <w:szCs w:val="28"/>
        </w:rPr>
        <w:t xml:space="preserve"> задолженност</w:t>
      </w:r>
      <w:r w:rsidR="00991F0E" w:rsidRPr="009A21DA">
        <w:rPr>
          <w:rFonts w:ascii="Bookman Old Style" w:hAnsi="Bookman Old Style" w:cs="Times New Roman"/>
          <w:color w:val="171717" w:themeColor="background2" w:themeShade="1A"/>
          <w:sz w:val="28"/>
          <w:szCs w:val="28"/>
        </w:rPr>
        <w:t>ь в размере</w:t>
      </w:r>
      <w:r w:rsidR="00DC303C" w:rsidRPr="009A21DA">
        <w:rPr>
          <w:rFonts w:ascii="Bookman Old Style" w:hAnsi="Bookman Old Style" w:cs="Times New Roman"/>
          <w:color w:val="171717" w:themeColor="background2" w:themeShade="1A"/>
          <w:sz w:val="28"/>
          <w:szCs w:val="28"/>
        </w:rPr>
        <w:t xml:space="preserve"> </w:t>
      </w:r>
      <w:r w:rsidR="001D311B" w:rsidRPr="009A21DA">
        <w:rPr>
          <w:rFonts w:ascii="Bookman Old Style" w:hAnsi="Bookman Old Style" w:cs="Times New Roman"/>
          <w:color w:val="171717" w:themeColor="background2" w:themeShade="1A"/>
          <w:sz w:val="28"/>
          <w:szCs w:val="28"/>
        </w:rPr>
        <w:t>561,6</w:t>
      </w:r>
      <w:r w:rsidR="00DC303C" w:rsidRPr="009A21DA">
        <w:rPr>
          <w:rFonts w:ascii="Bookman Old Style" w:hAnsi="Bookman Old Style" w:cs="Times New Roman"/>
          <w:color w:val="171717" w:themeColor="background2" w:themeShade="1A"/>
          <w:sz w:val="28"/>
          <w:szCs w:val="28"/>
        </w:rPr>
        <w:t xml:space="preserve"> тыс. рублей.</w:t>
      </w:r>
    </w:p>
    <w:p w:rsidR="00522754" w:rsidRPr="009A21DA" w:rsidRDefault="00522754" w:rsidP="009B4C92">
      <w:pPr>
        <w:spacing w:after="0" w:line="276" w:lineRule="auto"/>
        <w:ind w:firstLine="709"/>
        <w:jc w:val="both"/>
        <w:rPr>
          <w:rFonts w:ascii="Bookman Old Style" w:hAnsi="Bookman Old Style" w:cs="Times New Roman"/>
          <w:color w:val="171717" w:themeColor="background2" w:themeShade="1A"/>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619"/>
      </w:tblGrid>
      <w:tr w:rsidR="00136B4E" w:rsidRPr="00136B4E" w:rsidTr="00991F0E">
        <w:tc>
          <w:tcPr>
            <w:tcW w:w="4735" w:type="dxa"/>
            <w:hideMark/>
          </w:tcPr>
          <w:p w:rsidR="00136B4E" w:rsidRPr="009A21DA" w:rsidRDefault="00136B4E" w:rsidP="009B4C92">
            <w:pPr>
              <w:spacing w:line="276" w:lineRule="auto"/>
              <w:rPr>
                <w:rFonts w:ascii="Bookman Old Style" w:hAnsi="Bookman Old Style" w:cs="Times New Roman"/>
                <w:color w:val="171717" w:themeColor="background2" w:themeShade="1A"/>
                <w:sz w:val="28"/>
                <w:szCs w:val="28"/>
              </w:rPr>
            </w:pPr>
            <w:r w:rsidRPr="009A21DA">
              <w:rPr>
                <w:rFonts w:ascii="Bookman Old Style" w:hAnsi="Bookman Old Style" w:cs="Times New Roman"/>
                <w:color w:val="171717" w:themeColor="background2" w:themeShade="1A"/>
                <w:sz w:val="28"/>
                <w:szCs w:val="28"/>
              </w:rPr>
              <w:t>Глава Кочковского района Новосибирской области</w:t>
            </w:r>
          </w:p>
        </w:tc>
        <w:tc>
          <w:tcPr>
            <w:tcW w:w="4619" w:type="dxa"/>
          </w:tcPr>
          <w:p w:rsidR="00136B4E" w:rsidRPr="009A21DA" w:rsidRDefault="00136B4E" w:rsidP="009B4C92">
            <w:pPr>
              <w:spacing w:line="276" w:lineRule="auto"/>
              <w:jc w:val="right"/>
              <w:rPr>
                <w:rFonts w:ascii="Bookman Old Style" w:hAnsi="Bookman Old Style" w:cs="Times New Roman"/>
                <w:color w:val="171717" w:themeColor="background2" w:themeShade="1A"/>
                <w:sz w:val="28"/>
                <w:szCs w:val="28"/>
              </w:rPr>
            </w:pPr>
          </w:p>
          <w:p w:rsidR="00136B4E" w:rsidRPr="00136B4E" w:rsidRDefault="00136B4E" w:rsidP="009B4C92">
            <w:pPr>
              <w:spacing w:line="276" w:lineRule="auto"/>
              <w:jc w:val="right"/>
              <w:rPr>
                <w:rFonts w:ascii="Bookman Old Style" w:hAnsi="Bookman Old Style" w:cs="Times New Roman"/>
                <w:color w:val="171717" w:themeColor="background2" w:themeShade="1A"/>
                <w:sz w:val="28"/>
                <w:szCs w:val="28"/>
              </w:rPr>
            </w:pPr>
            <w:r w:rsidRPr="009A21DA">
              <w:rPr>
                <w:rFonts w:ascii="Bookman Old Style" w:hAnsi="Bookman Old Style" w:cs="Times New Roman"/>
                <w:color w:val="171717" w:themeColor="background2" w:themeShade="1A"/>
                <w:sz w:val="28"/>
                <w:szCs w:val="28"/>
              </w:rPr>
              <w:t>П.А.</w:t>
            </w:r>
            <w:r w:rsidR="00A10762" w:rsidRPr="009A21DA">
              <w:rPr>
                <w:rFonts w:ascii="Bookman Old Style" w:hAnsi="Bookman Old Style" w:cs="Times New Roman"/>
                <w:color w:val="171717" w:themeColor="background2" w:themeShade="1A"/>
                <w:sz w:val="28"/>
                <w:szCs w:val="28"/>
              </w:rPr>
              <w:t xml:space="preserve"> </w:t>
            </w:r>
            <w:r w:rsidRPr="009A21DA">
              <w:rPr>
                <w:rFonts w:ascii="Bookman Old Style" w:hAnsi="Bookman Old Style" w:cs="Times New Roman"/>
                <w:color w:val="171717" w:themeColor="background2" w:themeShade="1A"/>
                <w:sz w:val="28"/>
                <w:szCs w:val="28"/>
              </w:rPr>
              <w:t>Шилин</w:t>
            </w:r>
          </w:p>
        </w:tc>
      </w:tr>
    </w:tbl>
    <w:p w:rsidR="000C43D6" w:rsidRPr="00522754" w:rsidRDefault="000C43D6" w:rsidP="00991F0E">
      <w:pPr>
        <w:spacing w:after="0" w:line="276" w:lineRule="auto"/>
        <w:jc w:val="both"/>
        <w:rPr>
          <w:rFonts w:ascii="Bookman Old Style" w:hAnsi="Bookman Old Style" w:cs="Times New Roman"/>
          <w:color w:val="171717" w:themeColor="background2" w:themeShade="1A"/>
          <w:sz w:val="28"/>
          <w:szCs w:val="28"/>
        </w:rPr>
      </w:pPr>
    </w:p>
    <w:sectPr w:rsidR="000C43D6" w:rsidRPr="00522754" w:rsidSect="00E57B43">
      <w:headerReference w:type="default"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E0F" w:rsidRDefault="008B7E0F" w:rsidP="00831140">
      <w:pPr>
        <w:spacing w:after="0" w:line="240" w:lineRule="auto"/>
      </w:pPr>
      <w:r>
        <w:separator/>
      </w:r>
    </w:p>
  </w:endnote>
  <w:endnote w:type="continuationSeparator" w:id="0">
    <w:p w:rsidR="008B7E0F" w:rsidRDefault="008B7E0F" w:rsidP="0083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358833"/>
      <w:docPartObj>
        <w:docPartGallery w:val="Page Numbers (Bottom of Page)"/>
        <w:docPartUnique/>
      </w:docPartObj>
    </w:sdtPr>
    <w:sdtEndPr/>
    <w:sdtContent>
      <w:p w:rsidR="00E57B43" w:rsidRDefault="00E57B43">
        <w:pPr>
          <w:pStyle w:val="a5"/>
          <w:jc w:val="right"/>
        </w:pPr>
        <w:r>
          <w:fldChar w:fldCharType="begin"/>
        </w:r>
        <w:r>
          <w:instrText>PAGE   \* MERGEFORMAT</w:instrText>
        </w:r>
        <w:r>
          <w:fldChar w:fldCharType="separate"/>
        </w:r>
        <w:r w:rsidR="00A33E2E">
          <w:rPr>
            <w:noProof/>
          </w:rPr>
          <w:t>2</w:t>
        </w:r>
        <w:r>
          <w:fldChar w:fldCharType="end"/>
        </w:r>
      </w:p>
    </w:sdtContent>
  </w:sdt>
  <w:p w:rsidR="00E57B43" w:rsidRDefault="00E57B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E0F" w:rsidRDefault="008B7E0F" w:rsidP="00831140">
      <w:pPr>
        <w:spacing w:after="0" w:line="240" w:lineRule="auto"/>
      </w:pPr>
      <w:r>
        <w:separator/>
      </w:r>
    </w:p>
  </w:footnote>
  <w:footnote w:type="continuationSeparator" w:id="0">
    <w:p w:rsidR="008B7E0F" w:rsidRDefault="008B7E0F" w:rsidP="00831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40" w:rsidRDefault="00831140" w:rsidP="00831140">
    <w:pPr>
      <w:pStyle w:val="a3"/>
      <w:jc w:val="right"/>
    </w:pPr>
    <w:r>
      <w:rPr>
        <w:noProof/>
        <w:lang w:eastAsia="ru-RU"/>
      </w:rPr>
      <w:drawing>
        <wp:inline distT="0" distB="0" distL="0" distR="0" wp14:anchorId="2A2D0EFB" wp14:editId="1DA47CC4">
          <wp:extent cx="312774" cy="374238"/>
          <wp:effectExtent l="38100" t="0" r="11076" b="102012"/>
          <wp:docPr id="17" name="Рисунок 17" descr="C:\Users\Евгений Юрьевич\Desktop\Ge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Евгений Юрьевич\Desktop\Gerb[2].jpg"/>
                  <pic:cNvPicPr>
                    <a:picLocks noChangeAspect="1" noChangeArrowheads="1"/>
                  </pic:cNvPicPr>
                </pic:nvPicPr>
                <pic:blipFill>
                  <a:blip r:embed="rId1"/>
                  <a:srcRect/>
                  <a:stretch>
                    <a:fillRect/>
                  </a:stretch>
                </pic:blipFill>
                <pic:spPr bwMode="auto">
                  <a:xfrm>
                    <a:off x="0" y="0"/>
                    <a:ext cx="312536" cy="3739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F45"/>
    <w:multiLevelType w:val="hybridMultilevel"/>
    <w:tmpl w:val="B932675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3443D0"/>
    <w:multiLevelType w:val="hybridMultilevel"/>
    <w:tmpl w:val="CF98AC6A"/>
    <w:lvl w:ilvl="0" w:tplc="ECF63C12">
      <w:start w:val="1"/>
      <w:numFmt w:val="upperRoman"/>
      <w:lvlText w:val="%1."/>
      <w:lvlJc w:val="left"/>
      <w:pPr>
        <w:ind w:left="1080" w:hanging="720"/>
      </w:pPr>
      <w:rPr>
        <w:b/>
        <w:color w:val="222A35" w:themeColor="text2" w:themeShade="8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B2F5E78"/>
    <w:multiLevelType w:val="hybridMultilevel"/>
    <w:tmpl w:val="BE485CAA"/>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0A"/>
    <w:rsid w:val="00006A57"/>
    <w:rsid w:val="00011D73"/>
    <w:rsid w:val="00020A63"/>
    <w:rsid w:val="00024A4D"/>
    <w:rsid w:val="00041665"/>
    <w:rsid w:val="000522CC"/>
    <w:rsid w:val="00075492"/>
    <w:rsid w:val="00095DA7"/>
    <w:rsid w:val="000A769A"/>
    <w:rsid w:val="000C43D6"/>
    <w:rsid w:val="000D1D5A"/>
    <w:rsid w:val="000E0563"/>
    <w:rsid w:val="00115B12"/>
    <w:rsid w:val="00116BDF"/>
    <w:rsid w:val="00134F95"/>
    <w:rsid w:val="00136B4E"/>
    <w:rsid w:val="00153B4F"/>
    <w:rsid w:val="001548D6"/>
    <w:rsid w:val="00156104"/>
    <w:rsid w:val="001611CE"/>
    <w:rsid w:val="0016382A"/>
    <w:rsid w:val="001A6EBB"/>
    <w:rsid w:val="001B54FD"/>
    <w:rsid w:val="001C08A1"/>
    <w:rsid w:val="001C1D0A"/>
    <w:rsid w:val="001C28A6"/>
    <w:rsid w:val="001C351F"/>
    <w:rsid w:val="001C575A"/>
    <w:rsid w:val="001D311B"/>
    <w:rsid w:val="001F21AD"/>
    <w:rsid w:val="001F3474"/>
    <w:rsid w:val="001F7CB5"/>
    <w:rsid w:val="002055F2"/>
    <w:rsid w:val="00214BE6"/>
    <w:rsid w:val="00233DF6"/>
    <w:rsid w:val="0023724B"/>
    <w:rsid w:val="00243ADD"/>
    <w:rsid w:val="00251337"/>
    <w:rsid w:val="002526E1"/>
    <w:rsid w:val="00252851"/>
    <w:rsid w:val="00252E78"/>
    <w:rsid w:val="00257AA2"/>
    <w:rsid w:val="00262EA3"/>
    <w:rsid w:val="00277F07"/>
    <w:rsid w:val="0028029A"/>
    <w:rsid w:val="0029734F"/>
    <w:rsid w:val="002A2715"/>
    <w:rsid w:val="002A6D29"/>
    <w:rsid w:val="002B255F"/>
    <w:rsid w:val="002C2155"/>
    <w:rsid w:val="002C5556"/>
    <w:rsid w:val="002E554E"/>
    <w:rsid w:val="00313917"/>
    <w:rsid w:val="003332C9"/>
    <w:rsid w:val="0034641A"/>
    <w:rsid w:val="0035022A"/>
    <w:rsid w:val="00352A22"/>
    <w:rsid w:val="00362DD1"/>
    <w:rsid w:val="0036661A"/>
    <w:rsid w:val="00376707"/>
    <w:rsid w:val="00381FA0"/>
    <w:rsid w:val="003A1559"/>
    <w:rsid w:val="003A2203"/>
    <w:rsid w:val="003A7026"/>
    <w:rsid w:val="003A7E4B"/>
    <w:rsid w:val="003B0112"/>
    <w:rsid w:val="003B1257"/>
    <w:rsid w:val="003C084F"/>
    <w:rsid w:val="003C1E4C"/>
    <w:rsid w:val="003E10F7"/>
    <w:rsid w:val="003F1540"/>
    <w:rsid w:val="003F2139"/>
    <w:rsid w:val="00400AAD"/>
    <w:rsid w:val="00417E23"/>
    <w:rsid w:val="00436A10"/>
    <w:rsid w:val="004377CA"/>
    <w:rsid w:val="00442E9A"/>
    <w:rsid w:val="00445E58"/>
    <w:rsid w:val="0045512B"/>
    <w:rsid w:val="00457D95"/>
    <w:rsid w:val="00470174"/>
    <w:rsid w:val="00480A53"/>
    <w:rsid w:val="00482F47"/>
    <w:rsid w:val="00492B96"/>
    <w:rsid w:val="00495768"/>
    <w:rsid w:val="004D550E"/>
    <w:rsid w:val="004F4E6E"/>
    <w:rsid w:val="00522754"/>
    <w:rsid w:val="00522E45"/>
    <w:rsid w:val="00522F85"/>
    <w:rsid w:val="00540242"/>
    <w:rsid w:val="005524D3"/>
    <w:rsid w:val="00554C3F"/>
    <w:rsid w:val="0055541B"/>
    <w:rsid w:val="005666BA"/>
    <w:rsid w:val="00566980"/>
    <w:rsid w:val="005825EB"/>
    <w:rsid w:val="005839E5"/>
    <w:rsid w:val="0059082C"/>
    <w:rsid w:val="0059313B"/>
    <w:rsid w:val="005A3689"/>
    <w:rsid w:val="005E1CFE"/>
    <w:rsid w:val="005E42FB"/>
    <w:rsid w:val="005E4FF5"/>
    <w:rsid w:val="005F0768"/>
    <w:rsid w:val="005F1045"/>
    <w:rsid w:val="005F31FB"/>
    <w:rsid w:val="005F5C2B"/>
    <w:rsid w:val="005F6A61"/>
    <w:rsid w:val="005F7010"/>
    <w:rsid w:val="00601E70"/>
    <w:rsid w:val="00632670"/>
    <w:rsid w:val="006401D8"/>
    <w:rsid w:val="0065300C"/>
    <w:rsid w:val="006613E0"/>
    <w:rsid w:val="00666255"/>
    <w:rsid w:val="00675BF0"/>
    <w:rsid w:val="00676B0A"/>
    <w:rsid w:val="00685940"/>
    <w:rsid w:val="00696F55"/>
    <w:rsid w:val="006A19B2"/>
    <w:rsid w:val="006C7046"/>
    <w:rsid w:val="006C7139"/>
    <w:rsid w:val="006D43BD"/>
    <w:rsid w:val="006D60AC"/>
    <w:rsid w:val="006D6C46"/>
    <w:rsid w:val="006E2F77"/>
    <w:rsid w:val="007002C5"/>
    <w:rsid w:val="00714B3E"/>
    <w:rsid w:val="00720CF4"/>
    <w:rsid w:val="00721782"/>
    <w:rsid w:val="00734B85"/>
    <w:rsid w:val="00736111"/>
    <w:rsid w:val="00736765"/>
    <w:rsid w:val="0074039D"/>
    <w:rsid w:val="00746F9B"/>
    <w:rsid w:val="0075294B"/>
    <w:rsid w:val="00773F6D"/>
    <w:rsid w:val="00786CC8"/>
    <w:rsid w:val="0079215F"/>
    <w:rsid w:val="00792634"/>
    <w:rsid w:val="00793ED9"/>
    <w:rsid w:val="007A4BFE"/>
    <w:rsid w:val="007A4C7A"/>
    <w:rsid w:val="007A50F0"/>
    <w:rsid w:val="007C1FCF"/>
    <w:rsid w:val="007D41D7"/>
    <w:rsid w:val="007F2373"/>
    <w:rsid w:val="008057C4"/>
    <w:rsid w:val="00814E64"/>
    <w:rsid w:val="00822522"/>
    <w:rsid w:val="00831140"/>
    <w:rsid w:val="00843E9F"/>
    <w:rsid w:val="008545D9"/>
    <w:rsid w:val="00855E2B"/>
    <w:rsid w:val="0086013D"/>
    <w:rsid w:val="008968AA"/>
    <w:rsid w:val="008A05B7"/>
    <w:rsid w:val="008B2169"/>
    <w:rsid w:val="008B3F2C"/>
    <w:rsid w:val="008B45F2"/>
    <w:rsid w:val="008B7E0F"/>
    <w:rsid w:val="008C3B0A"/>
    <w:rsid w:val="008D22C3"/>
    <w:rsid w:val="008D5825"/>
    <w:rsid w:val="008E701B"/>
    <w:rsid w:val="008F1F91"/>
    <w:rsid w:val="00911066"/>
    <w:rsid w:val="00912C08"/>
    <w:rsid w:val="00916E23"/>
    <w:rsid w:val="009242E7"/>
    <w:rsid w:val="00926F6A"/>
    <w:rsid w:val="00937153"/>
    <w:rsid w:val="00991F0E"/>
    <w:rsid w:val="00997F9D"/>
    <w:rsid w:val="009A20CB"/>
    <w:rsid w:val="009A21DA"/>
    <w:rsid w:val="009B0D20"/>
    <w:rsid w:val="009B2AE2"/>
    <w:rsid w:val="009B4C92"/>
    <w:rsid w:val="009B6A47"/>
    <w:rsid w:val="009C5907"/>
    <w:rsid w:val="009E3038"/>
    <w:rsid w:val="009E5ED3"/>
    <w:rsid w:val="009F32A6"/>
    <w:rsid w:val="009F405C"/>
    <w:rsid w:val="009F56CE"/>
    <w:rsid w:val="009F6E54"/>
    <w:rsid w:val="009F7311"/>
    <w:rsid w:val="00A05526"/>
    <w:rsid w:val="00A10762"/>
    <w:rsid w:val="00A11E05"/>
    <w:rsid w:val="00A23B37"/>
    <w:rsid w:val="00A31CE5"/>
    <w:rsid w:val="00A31D83"/>
    <w:rsid w:val="00A33E2E"/>
    <w:rsid w:val="00A5268E"/>
    <w:rsid w:val="00A550E8"/>
    <w:rsid w:val="00A55918"/>
    <w:rsid w:val="00A72A7E"/>
    <w:rsid w:val="00A805E9"/>
    <w:rsid w:val="00A859D6"/>
    <w:rsid w:val="00A87234"/>
    <w:rsid w:val="00AB31ED"/>
    <w:rsid w:val="00AC242B"/>
    <w:rsid w:val="00AC4CC5"/>
    <w:rsid w:val="00AC74A2"/>
    <w:rsid w:val="00AD2CC2"/>
    <w:rsid w:val="00AE5E41"/>
    <w:rsid w:val="00AF1606"/>
    <w:rsid w:val="00AF5DDF"/>
    <w:rsid w:val="00B20575"/>
    <w:rsid w:val="00B2351E"/>
    <w:rsid w:val="00B24CB4"/>
    <w:rsid w:val="00B24E81"/>
    <w:rsid w:val="00B34CB3"/>
    <w:rsid w:val="00B40E7D"/>
    <w:rsid w:val="00B55525"/>
    <w:rsid w:val="00B66A96"/>
    <w:rsid w:val="00B717EE"/>
    <w:rsid w:val="00B82686"/>
    <w:rsid w:val="00B941C8"/>
    <w:rsid w:val="00BA1D71"/>
    <w:rsid w:val="00BE06B9"/>
    <w:rsid w:val="00BF3473"/>
    <w:rsid w:val="00C079C7"/>
    <w:rsid w:val="00C07B9D"/>
    <w:rsid w:val="00C523ED"/>
    <w:rsid w:val="00C55B33"/>
    <w:rsid w:val="00C563F9"/>
    <w:rsid w:val="00C571BD"/>
    <w:rsid w:val="00C64135"/>
    <w:rsid w:val="00C828E9"/>
    <w:rsid w:val="00C845A5"/>
    <w:rsid w:val="00CA27F1"/>
    <w:rsid w:val="00CA41C9"/>
    <w:rsid w:val="00CA766D"/>
    <w:rsid w:val="00CB1F33"/>
    <w:rsid w:val="00CB7413"/>
    <w:rsid w:val="00CC6C40"/>
    <w:rsid w:val="00CC772F"/>
    <w:rsid w:val="00CD4D3F"/>
    <w:rsid w:val="00CD77F3"/>
    <w:rsid w:val="00CE4555"/>
    <w:rsid w:val="00CE7815"/>
    <w:rsid w:val="00CF4D08"/>
    <w:rsid w:val="00D10CB1"/>
    <w:rsid w:val="00D412B7"/>
    <w:rsid w:val="00D63ABD"/>
    <w:rsid w:val="00D67CE6"/>
    <w:rsid w:val="00D70FC2"/>
    <w:rsid w:val="00D74BBB"/>
    <w:rsid w:val="00D81673"/>
    <w:rsid w:val="00D9438B"/>
    <w:rsid w:val="00D975F4"/>
    <w:rsid w:val="00DA6200"/>
    <w:rsid w:val="00DA770A"/>
    <w:rsid w:val="00DA7BB6"/>
    <w:rsid w:val="00DB79F1"/>
    <w:rsid w:val="00DC303C"/>
    <w:rsid w:val="00DD7F48"/>
    <w:rsid w:val="00DF2910"/>
    <w:rsid w:val="00DF3973"/>
    <w:rsid w:val="00E15D32"/>
    <w:rsid w:val="00E2543E"/>
    <w:rsid w:val="00E32C0A"/>
    <w:rsid w:val="00E406C7"/>
    <w:rsid w:val="00E46489"/>
    <w:rsid w:val="00E52701"/>
    <w:rsid w:val="00E56B03"/>
    <w:rsid w:val="00E57B43"/>
    <w:rsid w:val="00E662D8"/>
    <w:rsid w:val="00E737E1"/>
    <w:rsid w:val="00E73857"/>
    <w:rsid w:val="00E821EA"/>
    <w:rsid w:val="00EA59A3"/>
    <w:rsid w:val="00EB0536"/>
    <w:rsid w:val="00EB73A7"/>
    <w:rsid w:val="00EC5B9B"/>
    <w:rsid w:val="00ED169D"/>
    <w:rsid w:val="00ED2C1C"/>
    <w:rsid w:val="00EE1B1C"/>
    <w:rsid w:val="00EE5711"/>
    <w:rsid w:val="00EE779C"/>
    <w:rsid w:val="00EF251C"/>
    <w:rsid w:val="00EF5538"/>
    <w:rsid w:val="00EF7A02"/>
    <w:rsid w:val="00F010CD"/>
    <w:rsid w:val="00F02432"/>
    <w:rsid w:val="00F21B16"/>
    <w:rsid w:val="00F235FC"/>
    <w:rsid w:val="00F42192"/>
    <w:rsid w:val="00F573B3"/>
    <w:rsid w:val="00F6679D"/>
    <w:rsid w:val="00F71372"/>
    <w:rsid w:val="00F71990"/>
    <w:rsid w:val="00F73643"/>
    <w:rsid w:val="00F8186D"/>
    <w:rsid w:val="00F941B6"/>
    <w:rsid w:val="00FC00F0"/>
    <w:rsid w:val="00FC0C01"/>
    <w:rsid w:val="00FC12FB"/>
    <w:rsid w:val="00FD242D"/>
    <w:rsid w:val="00FE7EB6"/>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23368-86C8-4C30-9210-1566A8A5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1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1140"/>
  </w:style>
  <w:style w:type="paragraph" w:styleId="a5">
    <w:name w:val="footer"/>
    <w:basedOn w:val="a"/>
    <w:link w:val="a6"/>
    <w:uiPriority w:val="99"/>
    <w:unhideWhenUsed/>
    <w:rsid w:val="008311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1140"/>
  </w:style>
  <w:style w:type="table" w:styleId="a7">
    <w:name w:val="Table Grid"/>
    <w:basedOn w:val="a1"/>
    <w:uiPriority w:val="59"/>
    <w:rsid w:val="00831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E2543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5382">
      <w:bodyDiv w:val="1"/>
      <w:marLeft w:val="0"/>
      <w:marRight w:val="0"/>
      <w:marTop w:val="0"/>
      <w:marBottom w:val="0"/>
      <w:divBdr>
        <w:top w:val="none" w:sz="0" w:space="0" w:color="auto"/>
        <w:left w:val="none" w:sz="0" w:space="0" w:color="auto"/>
        <w:bottom w:val="none" w:sz="0" w:space="0" w:color="auto"/>
        <w:right w:val="none" w:sz="0" w:space="0" w:color="auto"/>
      </w:divBdr>
    </w:div>
    <w:div w:id="251013621">
      <w:bodyDiv w:val="1"/>
      <w:marLeft w:val="0"/>
      <w:marRight w:val="0"/>
      <w:marTop w:val="0"/>
      <w:marBottom w:val="0"/>
      <w:divBdr>
        <w:top w:val="none" w:sz="0" w:space="0" w:color="auto"/>
        <w:left w:val="none" w:sz="0" w:space="0" w:color="auto"/>
        <w:bottom w:val="none" w:sz="0" w:space="0" w:color="auto"/>
        <w:right w:val="none" w:sz="0" w:space="0" w:color="auto"/>
      </w:divBdr>
    </w:div>
    <w:div w:id="306129125">
      <w:bodyDiv w:val="1"/>
      <w:marLeft w:val="0"/>
      <w:marRight w:val="0"/>
      <w:marTop w:val="0"/>
      <w:marBottom w:val="0"/>
      <w:divBdr>
        <w:top w:val="none" w:sz="0" w:space="0" w:color="auto"/>
        <w:left w:val="none" w:sz="0" w:space="0" w:color="auto"/>
        <w:bottom w:val="none" w:sz="0" w:space="0" w:color="auto"/>
        <w:right w:val="none" w:sz="0" w:space="0" w:color="auto"/>
      </w:divBdr>
    </w:div>
    <w:div w:id="307635270">
      <w:bodyDiv w:val="1"/>
      <w:marLeft w:val="0"/>
      <w:marRight w:val="0"/>
      <w:marTop w:val="0"/>
      <w:marBottom w:val="0"/>
      <w:divBdr>
        <w:top w:val="none" w:sz="0" w:space="0" w:color="auto"/>
        <w:left w:val="none" w:sz="0" w:space="0" w:color="auto"/>
        <w:bottom w:val="none" w:sz="0" w:space="0" w:color="auto"/>
        <w:right w:val="none" w:sz="0" w:space="0" w:color="auto"/>
      </w:divBdr>
    </w:div>
    <w:div w:id="368840319">
      <w:bodyDiv w:val="1"/>
      <w:marLeft w:val="0"/>
      <w:marRight w:val="0"/>
      <w:marTop w:val="0"/>
      <w:marBottom w:val="0"/>
      <w:divBdr>
        <w:top w:val="none" w:sz="0" w:space="0" w:color="auto"/>
        <w:left w:val="none" w:sz="0" w:space="0" w:color="auto"/>
        <w:bottom w:val="none" w:sz="0" w:space="0" w:color="auto"/>
        <w:right w:val="none" w:sz="0" w:space="0" w:color="auto"/>
      </w:divBdr>
    </w:div>
    <w:div w:id="381098943">
      <w:bodyDiv w:val="1"/>
      <w:marLeft w:val="0"/>
      <w:marRight w:val="0"/>
      <w:marTop w:val="0"/>
      <w:marBottom w:val="0"/>
      <w:divBdr>
        <w:top w:val="none" w:sz="0" w:space="0" w:color="auto"/>
        <w:left w:val="none" w:sz="0" w:space="0" w:color="auto"/>
        <w:bottom w:val="none" w:sz="0" w:space="0" w:color="auto"/>
        <w:right w:val="none" w:sz="0" w:space="0" w:color="auto"/>
      </w:divBdr>
    </w:div>
    <w:div w:id="415443752">
      <w:bodyDiv w:val="1"/>
      <w:marLeft w:val="0"/>
      <w:marRight w:val="0"/>
      <w:marTop w:val="0"/>
      <w:marBottom w:val="0"/>
      <w:divBdr>
        <w:top w:val="none" w:sz="0" w:space="0" w:color="auto"/>
        <w:left w:val="none" w:sz="0" w:space="0" w:color="auto"/>
        <w:bottom w:val="none" w:sz="0" w:space="0" w:color="auto"/>
        <w:right w:val="none" w:sz="0" w:space="0" w:color="auto"/>
      </w:divBdr>
    </w:div>
    <w:div w:id="440339570">
      <w:bodyDiv w:val="1"/>
      <w:marLeft w:val="0"/>
      <w:marRight w:val="0"/>
      <w:marTop w:val="0"/>
      <w:marBottom w:val="0"/>
      <w:divBdr>
        <w:top w:val="none" w:sz="0" w:space="0" w:color="auto"/>
        <w:left w:val="none" w:sz="0" w:space="0" w:color="auto"/>
        <w:bottom w:val="none" w:sz="0" w:space="0" w:color="auto"/>
        <w:right w:val="none" w:sz="0" w:space="0" w:color="auto"/>
      </w:divBdr>
    </w:div>
    <w:div w:id="444006402">
      <w:bodyDiv w:val="1"/>
      <w:marLeft w:val="0"/>
      <w:marRight w:val="0"/>
      <w:marTop w:val="0"/>
      <w:marBottom w:val="0"/>
      <w:divBdr>
        <w:top w:val="none" w:sz="0" w:space="0" w:color="auto"/>
        <w:left w:val="none" w:sz="0" w:space="0" w:color="auto"/>
        <w:bottom w:val="none" w:sz="0" w:space="0" w:color="auto"/>
        <w:right w:val="none" w:sz="0" w:space="0" w:color="auto"/>
      </w:divBdr>
    </w:div>
    <w:div w:id="575629681">
      <w:bodyDiv w:val="1"/>
      <w:marLeft w:val="0"/>
      <w:marRight w:val="0"/>
      <w:marTop w:val="0"/>
      <w:marBottom w:val="0"/>
      <w:divBdr>
        <w:top w:val="none" w:sz="0" w:space="0" w:color="auto"/>
        <w:left w:val="none" w:sz="0" w:space="0" w:color="auto"/>
        <w:bottom w:val="none" w:sz="0" w:space="0" w:color="auto"/>
        <w:right w:val="none" w:sz="0" w:space="0" w:color="auto"/>
      </w:divBdr>
    </w:div>
    <w:div w:id="597712620">
      <w:bodyDiv w:val="1"/>
      <w:marLeft w:val="0"/>
      <w:marRight w:val="0"/>
      <w:marTop w:val="0"/>
      <w:marBottom w:val="0"/>
      <w:divBdr>
        <w:top w:val="none" w:sz="0" w:space="0" w:color="auto"/>
        <w:left w:val="none" w:sz="0" w:space="0" w:color="auto"/>
        <w:bottom w:val="none" w:sz="0" w:space="0" w:color="auto"/>
        <w:right w:val="none" w:sz="0" w:space="0" w:color="auto"/>
      </w:divBdr>
    </w:div>
    <w:div w:id="600841083">
      <w:bodyDiv w:val="1"/>
      <w:marLeft w:val="0"/>
      <w:marRight w:val="0"/>
      <w:marTop w:val="0"/>
      <w:marBottom w:val="0"/>
      <w:divBdr>
        <w:top w:val="none" w:sz="0" w:space="0" w:color="auto"/>
        <w:left w:val="none" w:sz="0" w:space="0" w:color="auto"/>
        <w:bottom w:val="none" w:sz="0" w:space="0" w:color="auto"/>
        <w:right w:val="none" w:sz="0" w:space="0" w:color="auto"/>
      </w:divBdr>
    </w:div>
    <w:div w:id="618997568">
      <w:bodyDiv w:val="1"/>
      <w:marLeft w:val="0"/>
      <w:marRight w:val="0"/>
      <w:marTop w:val="0"/>
      <w:marBottom w:val="0"/>
      <w:divBdr>
        <w:top w:val="none" w:sz="0" w:space="0" w:color="auto"/>
        <w:left w:val="none" w:sz="0" w:space="0" w:color="auto"/>
        <w:bottom w:val="none" w:sz="0" w:space="0" w:color="auto"/>
        <w:right w:val="none" w:sz="0" w:space="0" w:color="auto"/>
      </w:divBdr>
    </w:div>
    <w:div w:id="654261853">
      <w:bodyDiv w:val="1"/>
      <w:marLeft w:val="0"/>
      <w:marRight w:val="0"/>
      <w:marTop w:val="0"/>
      <w:marBottom w:val="0"/>
      <w:divBdr>
        <w:top w:val="none" w:sz="0" w:space="0" w:color="auto"/>
        <w:left w:val="none" w:sz="0" w:space="0" w:color="auto"/>
        <w:bottom w:val="none" w:sz="0" w:space="0" w:color="auto"/>
        <w:right w:val="none" w:sz="0" w:space="0" w:color="auto"/>
      </w:divBdr>
    </w:div>
    <w:div w:id="703025258">
      <w:bodyDiv w:val="1"/>
      <w:marLeft w:val="0"/>
      <w:marRight w:val="0"/>
      <w:marTop w:val="0"/>
      <w:marBottom w:val="0"/>
      <w:divBdr>
        <w:top w:val="none" w:sz="0" w:space="0" w:color="auto"/>
        <w:left w:val="none" w:sz="0" w:space="0" w:color="auto"/>
        <w:bottom w:val="none" w:sz="0" w:space="0" w:color="auto"/>
        <w:right w:val="none" w:sz="0" w:space="0" w:color="auto"/>
      </w:divBdr>
    </w:div>
    <w:div w:id="929313766">
      <w:bodyDiv w:val="1"/>
      <w:marLeft w:val="0"/>
      <w:marRight w:val="0"/>
      <w:marTop w:val="0"/>
      <w:marBottom w:val="0"/>
      <w:divBdr>
        <w:top w:val="none" w:sz="0" w:space="0" w:color="auto"/>
        <w:left w:val="none" w:sz="0" w:space="0" w:color="auto"/>
        <w:bottom w:val="none" w:sz="0" w:space="0" w:color="auto"/>
        <w:right w:val="none" w:sz="0" w:space="0" w:color="auto"/>
      </w:divBdr>
    </w:div>
    <w:div w:id="983698464">
      <w:bodyDiv w:val="1"/>
      <w:marLeft w:val="0"/>
      <w:marRight w:val="0"/>
      <w:marTop w:val="0"/>
      <w:marBottom w:val="0"/>
      <w:divBdr>
        <w:top w:val="none" w:sz="0" w:space="0" w:color="auto"/>
        <w:left w:val="none" w:sz="0" w:space="0" w:color="auto"/>
        <w:bottom w:val="none" w:sz="0" w:space="0" w:color="auto"/>
        <w:right w:val="none" w:sz="0" w:space="0" w:color="auto"/>
      </w:divBdr>
    </w:div>
    <w:div w:id="1076197836">
      <w:bodyDiv w:val="1"/>
      <w:marLeft w:val="0"/>
      <w:marRight w:val="0"/>
      <w:marTop w:val="0"/>
      <w:marBottom w:val="0"/>
      <w:divBdr>
        <w:top w:val="none" w:sz="0" w:space="0" w:color="auto"/>
        <w:left w:val="none" w:sz="0" w:space="0" w:color="auto"/>
        <w:bottom w:val="none" w:sz="0" w:space="0" w:color="auto"/>
        <w:right w:val="none" w:sz="0" w:space="0" w:color="auto"/>
      </w:divBdr>
    </w:div>
    <w:div w:id="1090929326">
      <w:bodyDiv w:val="1"/>
      <w:marLeft w:val="0"/>
      <w:marRight w:val="0"/>
      <w:marTop w:val="0"/>
      <w:marBottom w:val="0"/>
      <w:divBdr>
        <w:top w:val="none" w:sz="0" w:space="0" w:color="auto"/>
        <w:left w:val="none" w:sz="0" w:space="0" w:color="auto"/>
        <w:bottom w:val="none" w:sz="0" w:space="0" w:color="auto"/>
        <w:right w:val="none" w:sz="0" w:space="0" w:color="auto"/>
      </w:divBdr>
    </w:div>
    <w:div w:id="1158502285">
      <w:bodyDiv w:val="1"/>
      <w:marLeft w:val="0"/>
      <w:marRight w:val="0"/>
      <w:marTop w:val="0"/>
      <w:marBottom w:val="0"/>
      <w:divBdr>
        <w:top w:val="none" w:sz="0" w:space="0" w:color="auto"/>
        <w:left w:val="none" w:sz="0" w:space="0" w:color="auto"/>
        <w:bottom w:val="none" w:sz="0" w:space="0" w:color="auto"/>
        <w:right w:val="none" w:sz="0" w:space="0" w:color="auto"/>
      </w:divBdr>
    </w:div>
    <w:div w:id="1202131622">
      <w:bodyDiv w:val="1"/>
      <w:marLeft w:val="0"/>
      <w:marRight w:val="0"/>
      <w:marTop w:val="0"/>
      <w:marBottom w:val="0"/>
      <w:divBdr>
        <w:top w:val="none" w:sz="0" w:space="0" w:color="auto"/>
        <w:left w:val="none" w:sz="0" w:space="0" w:color="auto"/>
        <w:bottom w:val="none" w:sz="0" w:space="0" w:color="auto"/>
        <w:right w:val="none" w:sz="0" w:space="0" w:color="auto"/>
      </w:divBdr>
    </w:div>
    <w:div w:id="1212840821">
      <w:bodyDiv w:val="1"/>
      <w:marLeft w:val="0"/>
      <w:marRight w:val="0"/>
      <w:marTop w:val="0"/>
      <w:marBottom w:val="0"/>
      <w:divBdr>
        <w:top w:val="none" w:sz="0" w:space="0" w:color="auto"/>
        <w:left w:val="none" w:sz="0" w:space="0" w:color="auto"/>
        <w:bottom w:val="none" w:sz="0" w:space="0" w:color="auto"/>
        <w:right w:val="none" w:sz="0" w:space="0" w:color="auto"/>
      </w:divBdr>
    </w:div>
    <w:div w:id="1460680531">
      <w:bodyDiv w:val="1"/>
      <w:marLeft w:val="0"/>
      <w:marRight w:val="0"/>
      <w:marTop w:val="0"/>
      <w:marBottom w:val="0"/>
      <w:divBdr>
        <w:top w:val="none" w:sz="0" w:space="0" w:color="auto"/>
        <w:left w:val="none" w:sz="0" w:space="0" w:color="auto"/>
        <w:bottom w:val="none" w:sz="0" w:space="0" w:color="auto"/>
        <w:right w:val="none" w:sz="0" w:space="0" w:color="auto"/>
      </w:divBdr>
    </w:div>
    <w:div w:id="1479611420">
      <w:bodyDiv w:val="1"/>
      <w:marLeft w:val="0"/>
      <w:marRight w:val="0"/>
      <w:marTop w:val="0"/>
      <w:marBottom w:val="0"/>
      <w:divBdr>
        <w:top w:val="none" w:sz="0" w:space="0" w:color="auto"/>
        <w:left w:val="none" w:sz="0" w:space="0" w:color="auto"/>
        <w:bottom w:val="none" w:sz="0" w:space="0" w:color="auto"/>
        <w:right w:val="none" w:sz="0" w:space="0" w:color="auto"/>
      </w:divBdr>
    </w:div>
    <w:div w:id="1524900995">
      <w:bodyDiv w:val="1"/>
      <w:marLeft w:val="0"/>
      <w:marRight w:val="0"/>
      <w:marTop w:val="0"/>
      <w:marBottom w:val="0"/>
      <w:divBdr>
        <w:top w:val="none" w:sz="0" w:space="0" w:color="auto"/>
        <w:left w:val="none" w:sz="0" w:space="0" w:color="auto"/>
        <w:bottom w:val="none" w:sz="0" w:space="0" w:color="auto"/>
        <w:right w:val="none" w:sz="0" w:space="0" w:color="auto"/>
      </w:divBdr>
    </w:div>
    <w:div w:id="1610158042">
      <w:bodyDiv w:val="1"/>
      <w:marLeft w:val="0"/>
      <w:marRight w:val="0"/>
      <w:marTop w:val="0"/>
      <w:marBottom w:val="0"/>
      <w:divBdr>
        <w:top w:val="none" w:sz="0" w:space="0" w:color="auto"/>
        <w:left w:val="none" w:sz="0" w:space="0" w:color="auto"/>
        <w:bottom w:val="none" w:sz="0" w:space="0" w:color="auto"/>
        <w:right w:val="none" w:sz="0" w:space="0" w:color="auto"/>
      </w:divBdr>
    </w:div>
    <w:div w:id="1675455429">
      <w:bodyDiv w:val="1"/>
      <w:marLeft w:val="0"/>
      <w:marRight w:val="0"/>
      <w:marTop w:val="0"/>
      <w:marBottom w:val="0"/>
      <w:divBdr>
        <w:top w:val="none" w:sz="0" w:space="0" w:color="auto"/>
        <w:left w:val="none" w:sz="0" w:space="0" w:color="auto"/>
        <w:bottom w:val="none" w:sz="0" w:space="0" w:color="auto"/>
        <w:right w:val="none" w:sz="0" w:space="0" w:color="auto"/>
      </w:divBdr>
    </w:div>
    <w:div w:id="1762527638">
      <w:bodyDiv w:val="1"/>
      <w:marLeft w:val="0"/>
      <w:marRight w:val="0"/>
      <w:marTop w:val="0"/>
      <w:marBottom w:val="0"/>
      <w:divBdr>
        <w:top w:val="none" w:sz="0" w:space="0" w:color="auto"/>
        <w:left w:val="none" w:sz="0" w:space="0" w:color="auto"/>
        <w:bottom w:val="none" w:sz="0" w:space="0" w:color="auto"/>
        <w:right w:val="none" w:sz="0" w:space="0" w:color="auto"/>
      </w:divBdr>
    </w:div>
    <w:div w:id="1773623699">
      <w:bodyDiv w:val="1"/>
      <w:marLeft w:val="0"/>
      <w:marRight w:val="0"/>
      <w:marTop w:val="0"/>
      <w:marBottom w:val="0"/>
      <w:divBdr>
        <w:top w:val="none" w:sz="0" w:space="0" w:color="auto"/>
        <w:left w:val="none" w:sz="0" w:space="0" w:color="auto"/>
        <w:bottom w:val="none" w:sz="0" w:space="0" w:color="auto"/>
        <w:right w:val="none" w:sz="0" w:space="0" w:color="auto"/>
      </w:divBdr>
    </w:div>
    <w:div w:id="1800688486">
      <w:bodyDiv w:val="1"/>
      <w:marLeft w:val="0"/>
      <w:marRight w:val="0"/>
      <w:marTop w:val="0"/>
      <w:marBottom w:val="0"/>
      <w:divBdr>
        <w:top w:val="none" w:sz="0" w:space="0" w:color="auto"/>
        <w:left w:val="none" w:sz="0" w:space="0" w:color="auto"/>
        <w:bottom w:val="none" w:sz="0" w:space="0" w:color="auto"/>
        <w:right w:val="none" w:sz="0" w:space="0" w:color="auto"/>
      </w:divBdr>
    </w:div>
    <w:div w:id="1817262918">
      <w:bodyDiv w:val="1"/>
      <w:marLeft w:val="0"/>
      <w:marRight w:val="0"/>
      <w:marTop w:val="0"/>
      <w:marBottom w:val="0"/>
      <w:divBdr>
        <w:top w:val="none" w:sz="0" w:space="0" w:color="auto"/>
        <w:left w:val="none" w:sz="0" w:space="0" w:color="auto"/>
        <w:bottom w:val="none" w:sz="0" w:space="0" w:color="auto"/>
        <w:right w:val="none" w:sz="0" w:space="0" w:color="auto"/>
      </w:divBdr>
    </w:div>
    <w:div w:id="1822035983">
      <w:bodyDiv w:val="1"/>
      <w:marLeft w:val="0"/>
      <w:marRight w:val="0"/>
      <w:marTop w:val="0"/>
      <w:marBottom w:val="0"/>
      <w:divBdr>
        <w:top w:val="none" w:sz="0" w:space="0" w:color="auto"/>
        <w:left w:val="none" w:sz="0" w:space="0" w:color="auto"/>
        <w:bottom w:val="none" w:sz="0" w:space="0" w:color="auto"/>
        <w:right w:val="none" w:sz="0" w:space="0" w:color="auto"/>
      </w:divBdr>
    </w:div>
    <w:div w:id="1886092952">
      <w:bodyDiv w:val="1"/>
      <w:marLeft w:val="0"/>
      <w:marRight w:val="0"/>
      <w:marTop w:val="0"/>
      <w:marBottom w:val="0"/>
      <w:divBdr>
        <w:top w:val="none" w:sz="0" w:space="0" w:color="auto"/>
        <w:left w:val="none" w:sz="0" w:space="0" w:color="auto"/>
        <w:bottom w:val="none" w:sz="0" w:space="0" w:color="auto"/>
        <w:right w:val="none" w:sz="0" w:space="0" w:color="auto"/>
      </w:divBdr>
    </w:div>
    <w:div w:id="2023631156">
      <w:bodyDiv w:val="1"/>
      <w:marLeft w:val="0"/>
      <w:marRight w:val="0"/>
      <w:marTop w:val="0"/>
      <w:marBottom w:val="0"/>
      <w:divBdr>
        <w:top w:val="none" w:sz="0" w:space="0" w:color="auto"/>
        <w:left w:val="none" w:sz="0" w:space="0" w:color="auto"/>
        <w:bottom w:val="none" w:sz="0" w:space="0" w:color="auto"/>
        <w:right w:val="none" w:sz="0" w:space="0" w:color="auto"/>
      </w:divBdr>
    </w:div>
    <w:div w:id="20514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spc="50" baseline="0">
                <a:solidFill>
                  <a:schemeClr val="tx1">
                    <a:lumMod val="65000"/>
                    <a:lumOff val="35000"/>
                  </a:schemeClr>
                </a:solidFill>
                <a:latin typeface="Bookman Old Style" panose="02050604050505020204" pitchFamily="18" charset="0"/>
                <a:ea typeface="+mn-ea"/>
                <a:cs typeface="+mn-cs"/>
              </a:defRPr>
            </a:pPr>
            <a:r>
              <a:rPr lang="ru-RU"/>
              <a:t>Основные показатели с/х производства, %</a:t>
            </a:r>
          </a:p>
        </c:rich>
      </c:tx>
      <c:overlay val="0"/>
      <c:spPr>
        <a:noFill/>
        <a:ln>
          <a:noFill/>
        </a:ln>
        <a:effectLst/>
      </c:spPr>
      <c:txPr>
        <a:bodyPr rot="0" spcFirstLastPara="1" vertOverflow="ellipsis" vert="horz" wrap="square" anchor="ctr" anchorCtr="1"/>
        <a:lstStyle/>
        <a:p>
          <a:pPr>
            <a:defRPr sz="1800" b="0" i="0" u="none" strike="noStrike" kern="1200" cap="all" spc="50" baseline="0">
              <a:solidFill>
                <a:schemeClr val="tx1">
                  <a:lumMod val="65000"/>
                  <a:lumOff val="35000"/>
                </a:schemeClr>
              </a:solidFill>
              <a:latin typeface="Bookman Old Style" panose="020506040505050202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2020</c:v>
                </c:pt>
              </c:strCache>
            </c:strRef>
          </c:tx>
          <c:spPr>
            <a:gradFill>
              <a:gsLst>
                <a:gs pos="100000">
                  <a:schemeClr val="accent1">
                    <a:alpha val="0"/>
                  </a:schemeClr>
                </a:gs>
                <a:gs pos="50000">
                  <a:schemeClr val="accent1"/>
                </a:gs>
              </a:gsLst>
              <a:lin ang="5400000" scaled="0"/>
            </a:gradFill>
            <a:ln>
              <a:noFill/>
            </a:ln>
            <a:effectLst/>
            <a:sp3d/>
          </c:spPr>
          <c:invertIfNegative val="0"/>
          <c:cat>
            <c:strRef>
              <c:f>Лист1!$A$2:$A$6</c:f>
              <c:strCache>
                <c:ptCount val="5"/>
                <c:pt idx="0">
                  <c:v>Производство с/х продукции</c:v>
                </c:pt>
                <c:pt idx="1">
                  <c:v>Производство зеновых</c:v>
                </c:pt>
                <c:pt idx="2">
                  <c:v>Урожайность</c:v>
                </c:pt>
                <c:pt idx="3">
                  <c:v>Молоко</c:v>
                </c:pt>
                <c:pt idx="4">
                  <c:v>Мясо</c:v>
                </c:pt>
              </c:strCache>
            </c:strRef>
          </c:cat>
          <c:val>
            <c:numRef>
              <c:f>Лист1!$B$2:$B$6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5B95-40C4-B6D1-777E9404D343}"/>
            </c:ext>
          </c:extLst>
        </c:ser>
        <c:ser>
          <c:idx val="1"/>
          <c:order val="1"/>
          <c:tx>
            <c:strRef>
              <c:f>Лист1!$C$1</c:f>
              <c:strCache>
                <c:ptCount val="1"/>
                <c:pt idx="0">
                  <c:v>2021</c:v>
                </c:pt>
              </c:strCache>
            </c:strRef>
          </c:tx>
          <c:spPr>
            <a:gradFill>
              <a:gsLst>
                <a:gs pos="100000">
                  <a:schemeClr val="accent3">
                    <a:alpha val="0"/>
                  </a:schemeClr>
                </a:gs>
                <a:gs pos="50000">
                  <a:schemeClr val="accent3"/>
                </a:gs>
              </a:gsLst>
              <a:lin ang="5400000" scaled="0"/>
            </a:gradFill>
            <a:ln>
              <a:noFill/>
            </a:ln>
            <a:effectLst/>
            <a:sp3d/>
          </c:spPr>
          <c:invertIfNegative val="0"/>
          <c:cat>
            <c:strRef>
              <c:f>Лист1!$A$2:$A$6</c:f>
              <c:strCache>
                <c:ptCount val="5"/>
                <c:pt idx="0">
                  <c:v>Производство с/х продукции</c:v>
                </c:pt>
                <c:pt idx="1">
                  <c:v>Производство зеновых</c:v>
                </c:pt>
                <c:pt idx="2">
                  <c:v>Урожайность</c:v>
                </c:pt>
                <c:pt idx="3">
                  <c:v>Молоко</c:v>
                </c:pt>
                <c:pt idx="4">
                  <c:v>Мясо</c:v>
                </c:pt>
              </c:strCache>
            </c:strRef>
          </c:cat>
          <c:val>
            <c:numRef>
              <c:f>Лист1!$C$2:$C$6</c:f>
              <c:numCache>
                <c:formatCode>General</c:formatCode>
                <c:ptCount val="5"/>
                <c:pt idx="0">
                  <c:v>154</c:v>
                </c:pt>
                <c:pt idx="1">
                  <c:v>134</c:v>
                </c:pt>
                <c:pt idx="2">
                  <c:v>125</c:v>
                </c:pt>
                <c:pt idx="3">
                  <c:v>87</c:v>
                </c:pt>
                <c:pt idx="4">
                  <c:v>98</c:v>
                </c:pt>
              </c:numCache>
            </c:numRef>
          </c:val>
          <c:extLst>
            <c:ext xmlns:c16="http://schemas.microsoft.com/office/drawing/2014/chart" uri="{C3380CC4-5D6E-409C-BE32-E72D297353CC}">
              <c16:uniqueId val="{00000001-5B95-40C4-B6D1-777E9404D343}"/>
            </c:ext>
          </c:extLst>
        </c:ser>
        <c:dLbls>
          <c:showLegendKey val="0"/>
          <c:showVal val="0"/>
          <c:showCatName val="0"/>
          <c:showSerName val="0"/>
          <c:showPercent val="0"/>
          <c:showBubbleSize val="0"/>
        </c:dLbls>
        <c:gapWidth val="150"/>
        <c:gapDepth val="0"/>
        <c:shape val="box"/>
        <c:axId val="313903240"/>
        <c:axId val="313905208"/>
        <c:axId val="0"/>
      </c:bar3DChart>
      <c:catAx>
        <c:axId val="313903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crossAx val="313905208"/>
        <c:crosses val="autoZero"/>
        <c:auto val="1"/>
        <c:lblAlgn val="ctr"/>
        <c:lblOffset val="100"/>
        <c:noMultiLvlLbl val="0"/>
      </c:catAx>
      <c:valAx>
        <c:axId val="313905208"/>
        <c:scaling>
          <c:orientation val="minMax"/>
          <c:min val="0"/>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31390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i="0">
          <a:latin typeface="Bookman Old Style" panose="020506040505050202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ru-RU"/>
              <a:t>Промышленное производство, млн. рублей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20-4462-82E3-34AC65A8453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420-4462-82E3-34AC65A8453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420-4462-82E3-34AC65A8453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420-4462-82E3-34AC65A8453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420-4462-82E3-34AC65A8453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Хлебокомбинат Кочковского ПТПК</c:v>
                </c:pt>
                <c:pt idx="1">
                  <c:v>Цех полуфабрикатов Кочковского ПТПК</c:v>
                </c:pt>
                <c:pt idx="2">
                  <c:v>Лесхоз</c:v>
                </c:pt>
                <c:pt idx="3">
                  <c:v>Кочковский мясокомбинат</c:v>
                </c:pt>
                <c:pt idx="4">
                  <c:v>Прочие</c:v>
                </c:pt>
              </c:strCache>
            </c:strRef>
          </c:cat>
          <c:val>
            <c:numRef>
              <c:f>Лист1!$B$2:$B$6</c:f>
              <c:numCache>
                <c:formatCode>General</c:formatCode>
                <c:ptCount val="5"/>
                <c:pt idx="0">
                  <c:v>9.9</c:v>
                </c:pt>
                <c:pt idx="1">
                  <c:v>1.4</c:v>
                </c:pt>
                <c:pt idx="2">
                  <c:v>1</c:v>
                </c:pt>
                <c:pt idx="3">
                  <c:v>19</c:v>
                </c:pt>
                <c:pt idx="4">
                  <c:v>1</c:v>
                </c:pt>
              </c:numCache>
            </c:numRef>
          </c:val>
          <c:extLst>
            <c:ext xmlns:c16="http://schemas.microsoft.com/office/drawing/2014/chart" uri="{C3380CC4-5D6E-409C-BE32-E72D297353CC}">
              <c16:uniqueId val="{0000000C-9420-4462-82E3-34AC65A8453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i="0">
          <a:latin typeface="Bookman Old Style" panose="020506040505050202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spc="50" baseline="0">
                <a:solidFill>
                  <a:schemeClr val="tx1">
                    <a:lumMod val="65000"/>
                    <a:lumOff val="35000"/>
                  </a:schemeClr>
                </a:solidFill>
                <a:latin typeface="Bookman Old Style" panose="02050604050505020204" pitchFamily="18" charset="0"/>
                <a:ea typeface="+mn-ea"/>
                <a:cs typeface="+mn-cs"/>
              </a:defRPr>
            </a:pPr>
            <a:r>
              <a:rPr lang="ru-RU"/>
              <a:t>Объем транспортных услуг</a:t>
            </a:r>
          </a:p>
        </c:rich>
      </c:tx>
      <c:overlay val="0"/>
      <c:spPr>
        <a:noFill/>
        <a:ln>
          <a:noFill/>
        </a:ln>
        <a:effectLst/>
      </c:spPr>
      <c:txPr>
        <a:bodyPr rot="0" spcFirstLastPara="1" vertOverflow="ellipsis" vert="horz" wrap="square" anchor="ctr" anchorCtr="1"/>
        <a:lstStyle/>
        <a:p>
          <a:pPr>
            <a:defRPr sz="1800" b="0" i="0" u="none" strike="noStrike" kern="1200" cap="all" spc="50" baseline="0">
              <a:solidFill>
                <a:schemeClr val="tx1">
                  <a:lumMod val="65000"/>
                  <a:lumOff val="35000"/>
                </a:schemeClr>
              </a:solidFill>
              <a:latin typeface="Bookman Old Style" panose="020506040505050202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Пассажирские перевозки, тыс.человек</c:v>
                </c:pt>
              </c:strCache>
            </c:strRef>
          </c:tx>
          <c:spPr>
            <a:gradFill>
              <a:gsLst>
                <a:gs pos="100000">
                  <a:schemeClr val="accent1">
                    <a:alpha val="0"/>
                  </a:schemeClr>
                </a:gs>
                <a:gs pos="50000">
                  <a:schemeClr val="accent1"/>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bg1"/>
                    </a:solidFill>
                    <a:latin typeface="Bookman Old Style" panose="02050604050505020204" pitchFamily="18" charset="0"/>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Лист1!$A$2:$A$3</c:f>
              <c:numCache>
                <c:formatCode>General</c:formatCode>
                <c:ptCount val="2"/>
                <c:pt idx="0">
                  <c:v>2020</c:v>
                </c:pt>
                <c:pt idx="1">
                  <c:v>2021</c:v>
                </c:pt>
              </c:numCache>
            </c:numRef>
          </c:cat>
          <c:val>
            <c:numRef>
              <c:f>Лист1!$B$2:$B$3</c:f>
              <c:numCache>
                <c:formatCode>General</c:formatCode>
                <c:ptCount val="2"/>
                <c:pt idx="0">
                  <c:v>142</c:v>
                </c:pt>
                <c:pt idx="1">
                  <c:v>149.4</c:v>
                </c:pt>
              </c:numCache>
            </c:numRef>
          </c:val>
          <c:extLst>
            <c:ext xmlns:c16="http://schemas.microsoft.com/office/drawing/2014/chart" uri="{C3380CC4-5D6E-409C-BE32-E72D297353CC}">
              <c16:uniqueId val="{00000000-2866-47BA-85E5-B74E06C17DE1}"/>
            </c:ext>
          </c:extLst>
        </c:ser>
        <c:ser>
          <c:idx val="1"/>
          <c:order val="1"/>
          <c:tx>
            <c:strRef>
              <c:f>Лист1!$C$1</c:f>
              <c:strCache>
                <c:ptCount val="1"/>
                <c:pt idx="0">
                  <c:v>Грузовые перевозки, тыс. тонн</c:v>
                </c:pt>
              </c:strCache>
            </c:strRef>
          </c:tx>
          <c:spPr>
            <a:gradFill>
              <a:gsLst>
                <a:gs pos="100000">
                  <a:schemeClr val="accent3">
                    <a:alpha val="0"/>
                  </a:schemeClr>
                </a:gs>
                <a:gs pos="50000">
                  <a:schemeClr val="accent3"/>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bg1"/>
                    </a:solidFill>
                    <a:latin typeface="Bookman Old Style" panose="02050604050505020204" pitchFamily="18" charset="0"/>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Лист1!$A$2:$A$3</c:f>
              <c:numCache>
                <c:formatCode>General</c:formatCode>
                <c:ptCount val="2"/>
                <c:pt idx="0">
                  <c:v>2020</c:v>
                </c:pt>
                <c:pt idx="1">
                  <c:v>2021</c:v>
                </c:pt>
              </c:numCache>
            </c:numRef>
          </c:cat>
          <c:val>
            <c:numRef>
              <c:f>Лист1!$C$2:$C$3</c:f>
              <c:numCache>
                <c:formatCode>General</c:formatCode>
                <c:ptCount val="2"/>
                <c:pt idx="0">
                  <c:v>219.9</c:v>
                </c:pt>
                <c:pt idx="1">
                  <c:v>237.7</c:v>
                </c:pt>
              </c:numCache>
            </c:numRef>
          </c:val>
          <c:extLst>
            <c:ext xmlns:c16="http://schemas.microsoft.com/office/drawing/2014/chart" uri="{C3380CC4-5D6E-409C-BE32-E72D297353CC}">
              <c16:uniqueId val="{00000001-2866-47BA-85E5-B74E06C17DE1}"/>
            </c:ext>
          </c:extLst>
        </c:ser>
        <c:dLbls>
          <c:showLegendKey val="0"/>
          <c:showVal val="0"/>
          <c:showCatName val="0"/>
          <c:showSerName val="0"/>
          <c:showPercent val="0"/>
          <c:showBubbleSize val="0"/>
        </c:dLbls>
        <c:gapWidth val="150"/>
        <c:gapDepth val="0"/>
        <c:shape val="box"/>
        <c:axId val="481339944"/>
        <c:axId val="481339616"/>
        <c:axId val="308499992"/>
      </c:bar3DChart>
      <c:catAx>
        <c:axId val="481339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crossAx val="481339616"/>
        <c:crosses val="autoZero"/>
        <c:auto val="1"/>
        <c:lblAlgn val="ctr"/>
        <c:lblOffset val="100"/>
        <c:noMultiLvlLbl val="0"/>
      </c:catAx>
      <c:valAx>
        <c:axId val="481339616"/>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481339944"/>
        <c:crosses val="autoZero"/>
        <c:crossBetween val="between"/>
      </c:valAx>
      <c:serAx>
        <c:axId val="308499992"/>
        <c:scaling>
          <c:orientation val="minMax"/>
        </c:scaling>
        <c:delete val="0"/>
        <c:axPos val="b"/>
        <c:majorTickMark val="none"/>
        <c:minorTickMark val="none"/>
        <c:tickLblPos val="nextTo"/>
        <c:spPr>
          <a:noFill/>
          <a:ln w="9525"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crossAx val="48133961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i="0">
          <a:latin typeface="Bookman Old Style" panose="020506040505050202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1</Pages>
  <Words>3783</Words>
  <Characters>21569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Юрьевич</dc:creator>
  <cp:keywords/>
  <dc:description/>
  <cp:lastModifiedBy>admin</cp:lastModifiedBy>
  <cp:revision>275</cp:revision>
  <cp:lastPrinted>2019-04-30T03:09:00Z</cp:lastPrinted>
  <dcterms:created xsi:type="dcterms:W3CDTF">2017-04-18T09:45:00Z</dcterms:created>
  <dcterms:modified xsi:type="dcterms:W3CDTF">2022-05-05T05:18:00Z</dcterms:modified>
</cp:coreProperties>
</file>