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b/>
          <w:noProof/>
          <w:color w:val="525252" w:themeColor="accent3" w:themeShade="80"/>
          <w:sz w:val="28"/>
          <w:szCs w:val="28"/>
          <w:lang w:eastAsia="ru-RU"/>
        </w:rPr>
        <w:drawing>
          <wp:inline distT="0" distB="0" distL="0" distR="0" wp14:anchorId="61478F9E" wp14:editId="115D899A">
            <wp:extent cx="636043" cy="760873"/>
            <wp:effectExtent l="19050" t="0" r="0" b="0"/>
            <wp:docPr id="1" name="Рисунок 1" descr="C:\Users\Евгений Юрьевич\Desktop\Gerb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 Юрьевич\Desktop\Gerb[2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2" cy="76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АДМИНИСТРАЦИЯ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КОЧКОВСКОГО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НОВОСИБИРСКОЙ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ОБЛАСТИ</w:t>
      </w: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Доклад</w:t>
      </w: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Главы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Кочковского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Новосибирской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области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Петра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Александровича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Шилина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достигнутых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значениях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показателей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для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оценки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эффективности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деятельности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органов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местного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самоуправления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Кочковского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Новосибирской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области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за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20</w:t>
      </w:r>
      <w:r w:rsidR="00F02432"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20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год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и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их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планируемых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значениях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на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3-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летний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период</w:t>
      </w: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lang w:eastAsia="ru-RU"/>
        </w:rPr>
      </w:pPr>
    </w:p>
    <w:p w:rsidR="00F02432" w:rsidRPr="007A4C7A" w:rsidRDefault="00F02432" w:rsidP="009B4C92">
      <w:pPr>
        <w:spacing w:after="0" w:line="276" w:lineRule="auto"/>
        <w:jc w:val="center"/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</w:pPr>
    </w:p>
    <w:p w:rsidR="00F02432" w:rsidRPr="007A4C7A" w:rsidRDefault="00F02432" w:rsidP="009B4C92">
      <w:pPr>
        <w:spacing w:after="0" w:line="276" w:lineRule="auto"/>
        <w:jc w:val="center"/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</w:pPr>
    </w:p>
    <w:p w:rsidR="00FC0C01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proofErr w:type="spellStart"/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Кочковский</w:t>
      </w:r>
      <w:proofErr w:type="spellEnd"/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 xml:space="preserve"> </w:t>
      </w:r>
      <w:r w:rsidRPr="007A4C7A">
        <w:rPr>
          <w:rFonts w:ascii="Bookman Old Style" w:eastAsia="Times New Roman" w:hAnsi="Bookman Old Style" w:cs="Cambria"/>
          <w:b/>
          <w:color w:val="525252" w:themeColor="accent3" w:themeShade="80"/>
          <w:sz w:val="28"/>
          <w:szCs w:val="28"/>
          <w:lang w:eastAsia="ru-RU"/>
        </w:rPr>
        <w:t>район</w:t>
      </w: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, 20</w:t>
      </w:r>
      <w:r w:rsidR="00F02432"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t>21</w:t>
      </w: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  <w:lastRenderedPageBreak/>
        <w:t>ОГЛАВЛЕНИЕ</w:t>
      </w: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9"/>
        <w:gridCol w:w="675"/>
      </w:tblGrid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Введение . . . . . . . . . . . . . . . . . . . . . . . . . . . . . . . . . . . . </w:t>
            </w:r>
          </w:p>
        </w:tc>
        <w:tc>
          <w:tcPr>
            <w:tcW w:w="675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3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I.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 Экономическое развитие . . . . . . . . . . . . . . . . . . . . . . </w:t>
            </w:r>
          </w:p>
        </w:tc>
        <w:tc>
          <w:tcPr>
            <w:tcW w:w="675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Общие сведения . . . . . . . . . . . . . . . . . .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. . </w:t>
            </w:r>
          </w:p>
        </w:tc>
        <w:tc>
          <w:tcPr>
            <w:tcW w:w="675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Сельское хозяйство . . . . . . . . . . . . . . . .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</w:t>
            </w:r>
          </w:p>
        </w:tc>
        <w:tc>
          <w:tcPr>
            <w:tcW w:w="675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Промышленность . . . . . . . . . . . . . . . . .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. . </w:t>
            </w:r>
          </w:p>
        </w:tc>
        <w:tc>
          <w:tcPr>
            <w:tcW w:w="675" w:type="dxa"/>
          </w:tcPr>
          <w:p w:rsidR="00831140" w:rsidRPr="007A4C7A" w:rsidRDefault="00554C3F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  <w:tr w:rsidR="00831140" w:rsidRPr="007A4C7A" w:rsidTr="00831140">
        <w:trPr>
          <w:trHeight w:val="38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Малое и среднее предпринимательство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</w:t>
            </w:r>
          </w:p>
        </w:tc>
        <w:tc>
          <w:tcPr>
            <w:tcW w:w="675" w:type="dxa"/>
          </w:tcPr>
          <w:p w:rsidR="00831140" w:rsidRPr="007A4C7A" w:rsidRDefault="00554C3F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9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Строительство и инвестиции . . . . . . . .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</w:t>
            </w:r>
          </w:p>
        </w:tc>
        <w:tc>
          <w:tcPr>
            <w:tcW w:w="675" w:type="dxa"/>
          </w:tcPr>
          <w:p w:rsidR="00831140" w:rsidRPr="007A4C7A" w:rsidRDefault="00554C3F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9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Доходы населения . . . . . . . . . . . . . . . .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 .</w:t>
            </w:r>
          </w:p>
        </w:tc>
        <w:tc>
          <w:tcPr>
            <w:tcW w:w="675" w:type="dxa"/>
          </w:tcPr>
          <w:p w:rsidR="00831140" w:rsidRPr="007A4C7A" w:rsidRDefault="00554C3F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10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ind w:left="462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Дорожное хозяйство и транспорт . . . . . . . . . . . </w:t>
            </w:r>
            <w:r w:rsidR="00E57B43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. . . .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II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Здравоохранение и здоровье населения . . .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3</w:t>
            </w:r>
          </w:p>
        </w:tc>
      </w:tr>
      <w:tr w:rsidR="00831140" w:rsidRPr="007A4C7A" w:rsidTr="00831140">
        <w:trPr>
          <w:trHeight w:val="38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III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Образование . . . . . . . . . . . . . . . . . . . . . . . .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4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IV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Культура . . . . . . . . . . . . . . . . . . . . . . . . . . .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5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Социальная политика . . . . . . . . . . . . . . . . .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6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VI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Физическая культура и спорт . . . . . . . . . .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7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VII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Жилищное строительство и обеспечение граждан жильем . . . . . . . . . . . . . . . . . . . . . . . . . . . . . . . . . . . . . . </w:t>
            </w:r>
          </w:p>
        </w:tc>
        <w:tc>
          <w:tcPr>
            <w:tcW w:w="675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</w:p>
          <w:p w:rsidR="001548D6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VIII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Жилищно-коммунальное хозяйство . . . .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8</w:t>
            </w:r>
          </w:p>
        </w:tc>
      </w:tr>
      <w:tr w:rsidR="00831140" w:rsidRPr="007A4C7A" w:rsidTr="00831140">
        <w:trPr>
          <w:trHeight w:val="361"/>
        </w:trPr>
        <w:tc>
          <w:tcPr>
            <w:tcW w:w="8680" w:type="dxa"/>
          </w:tcPr>
          <w:p w:rsidR="00831140" w:rsidRPr="007A4C7A" w:rsidRDefault="00831140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val="en-US" w:eastAsia="ru-RU"/>
              </w:rPr>
              <w:t>IX</w:t>
            </w: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 xml:space="preserve">. Организация муниципального управления . . . . . . . </w:t>
            </w:r>
          </w:p>
        </w:tc>
        <w:tc>
          <w:tcPr>
            <w:tcW w:w="675" w:type="dxa"/>
          </w:tcPr>
          <w:p w:rsidR="00831140" w:rsidRPr="007A4C7A" w:rsidRDefault="001548D6" w:rsidP="009B4C92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</w:pPr>
            <w:r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1</w:t>
            </w:r>
            <w:r w:rsidR="00554C3F" w:rsidRPr="007A4C7A">
              <w:rPr>
                <w:rFonts w:ascii="Bookman Old Style" w:eastAsia="Times New Roman" w:hAnsi="Bookman Old Style" w:cs="Times New Roman"/>
                <w:b/>
                <w:color w:val="525252" w:themeColor="accent3" w:themeShade="80"/>
                <w:sz w:val="28"/>
                <w:szCs w:val="28"/>
                <w:lang w:eastAsia="ru-RU"/>
              </w:rPr>
              <w:t>9</w:t>
            </w:r>
          </w:p>
        </w:tc>
      </w:tr>
    </w:tbl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color w:val="525252" w:themeColor="accent3" w:themeShade="80"/>
          <w:sz w:val="28"/>
          <w:szCs w:val="28"/>
          <w:lang w:eastAsia="ru-RU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831140" w:rsidRPr="007A4C7A" w:rsidRDefault="00831140" w:rsidP="009B4C92">
      <w:pPr>
        <w:spacing w:line="276" w:lineRule="auto"/>
        <w:rPr>
          <w:rFonts w:ascii="Bookman Old Style" w:hAnsi="Bookman Old Style" w:cs="Times New Roman"/>
          <w:sz w:val="28"/>
          <w:szCs w:val="28"/>
        </w:rPr>
      </w:pPr>
    </w:p>
    <w:p w:rsidR="00F02432" w:rsidRPr="007A4C7A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7A4C7A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7A4C7A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7A4C7A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F02432" w:rsidRPr="007A4C7A" w:rsidRDefault="00F0243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3A2203" w:rsidRPr="007A4C7A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lastRenderedPageBreak/>
        <w:t>ВВЕДЕНИЕ</w:t>
      </w:r>
    </w:p>
    <w:p w:rsidR="003A2203" w:rsidRPr="007A4C7A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Доклад Главы Кочковского района Новосибирской области о достигнутых значениях показателей для оценки эффективности деятельности органов местного самоуправления Кочковского района Новосибирской области за 20</w:t>
      </w:r>
      <w:r w:rsidR="009E3038" w:rsidRPr="007A4C7A">
        <w:rPr>
          <w:rFonts w:ascii="Bookman Old Style" w:hAnsi="Bookman Old Style" w:cs="Times New Roman"/>
          <w:sz w:val="28"/>
          <w:szCs w:val="28"/>
        </w:rPr>
        <w:t>20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год и их планируемых значениях на 3-летний период подготовлен в соответствии с пунктом 3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районов».</w:t>
      </w:r>
    </w:p>
    <w:p w:rsidR="003A2203" w:rsidRPr="007A4C7A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Расчет показателей производился в соответствии с утвержденными методологическими пояснениями с использованием официальных данных, предоставленных органами местного самоуправления, территориальным органом Федеральной службы государственной статистики по Новосибирской области, а также данных социологических опросов, проводимых Правительством Новосибирской области.</w:t>
      </w:r>
    </w:p>
    <w:p w:rsidR="003A2203" w:rsidRPr="007A4C7A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В докладе представлены показатели деятельности Администрации Кочковского района в рамках Федерального закона от 06.10.2003 № 131-ФЗ «Об общих принципах организации местного самоуправления в Российской Федерации».</w:t>
      </w:r>
    </w:p>
    <w:p w:rsidR="003A2203" w:rsidRPr="007A4C7A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Основной целью работы органов местного самоуправления является повышение уровня и качества жизни населения, развитие экономики Кочковского района. </w:t>
      </w:r>
    </w:p>
    <w:p w:rsidR="003A2203" w:rsidRPr="007A4C7A" w:rsidRDefault="003A2203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Для достижения цели органами местного самоуправления разработан широкий спектр муниципальных программ во всех отраслях в рамках полномочий.</w:t>
      </w:r>
    </w:p>
    <w:p w:rsidR="0028029A" w:rsidRPr="007A4C7A" w:rsidRDefault="0028029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28029A" w:rsidRPr="007A4C7A" w:rsidRDefault="0028029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28029A" w:rsidRPr="007A4C7A" w:rsidRDefault="0028029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9E3038" w:rsidRPr="007A4C7A" w:rsidRDefault="009E30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5300C" w:rsidRPr="007A4C7A" w:rsidRDefault="0065300C" w:rsidP="009B4C92">
      <w:pPr>
        <w:numPr>
          <w:ilvl w:val="0"/>
          <w:numId w:val="2"/>
        </w:numPr>
        <w:spacing w:after="0" w:line="276" w:lineRule="auto"/>
        <w:jc w:val="center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  <w:lastRenderedPageBreak/>
        <w:t>Экономическое развитие</w:t>
      </w:r>
    </w:p>
    <w:p w:rsidR="0029734F" w:rsidRPr="007A4C7A" w:rsidRDefault="0029734F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t>Общие сведения</w:t>
      </w: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Кочковский район образован 12 сентября 1924 года на базе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Решетовской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Кочковской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и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Жуланской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волостей. Общая площадь района 2517,7 км</w:t>
      </w:r>
      <w:r w:rsidRPr="007A4C7A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Pr="007A4C7A">
        <w:rPr>
          <w:rFonts w:ascii="Bookman Old Style" w:hAnsi="Bookman Old Style" w:cs="Times New Roman"/>
          <w:sz w:val="28"/>
          <w:szCs w:val="28"/>
        </w:rPr>
        <w:t>.</w:t>
      </w: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Район граничит с Краснозерским,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Доволенским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Каргатским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,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Чулымским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и Ордынским районами Новосибирской области, на юге с Алтайским краем. Административный центр района село Кочки. В состав района входят 19 поселений, объединенных в 10 сельсоветов. Численность населения по состоянию на 31 декабря 20</w:t>
      </w:r>
      <w:r w:rsidR="00E662D8" w:rsidRPr="007A4C7A">
        <w:rPr>
          <w:rFonts w:ascii="Bookman Old Style" w:hAnsi="Bookman Old Style" w:cs="Times New Roman"/>
          <w:sz w:val="28"/>
          <w:szCs w:val="28"/>
        </w:rPr>
        <w:t>20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года составила 1</w:t>
      </w:r>
      <w:r w:rsidR="005F0768" w:rsidRPr="007A4C7A">
        <w:rPr>
          <w:rFonts w:ascii="Bookman Old Style" w:hAnsi="Bookman Old Style" w:cs="Times New Roman"/>
          <w:sz w:val="28"/>
          <w:szCs w:val="28"/>
        </w:rPr>
        <w:t>3</w:t>
      </w:r>
      <w:r w:rsidR="00E662D8" w:rsidRPr="007A4C7A">
        <w:rPr>
          <w:rFonts w:ascii="Bookman Old Style" w:hAnsi="Bookman Old Style" w:cs="Times New Roman"/>
          <w:sz w:val="28"/>
          <w:szCs w:val="28"/>
        </w:rPr>
        <w:t>292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человек</w:t>
      </w:r>
      <w:r w:rsidR="00E662D8" w:rsidRPr="007A4C7A">
        <w:rPr>
          <w:rFonts w:ascii="Bookman Old Style" w:hAnsi="Bookman Old Style" w:cs="Times New Roman"/>
          <w:sz w:val="28"/>
          <w:szCs w:val="28"/>
        </w:rPr>
        <w:t>а</w:t>
      </w:r>
      <w:r w:rsidRPr="007A4C7A">
        <w:rPr>
          <w:rFonts w:ascii="Bookman Old Style" w:hAnsi="Bookman Old Style" w:cs="Times New Roman"/>
          <w:sz w:val="28"/>
          <w:szCs w:val="28"/>
        </w:rPr>
        <w:t>. Плотность населения 5,</w:t>
      </w:r>
      <w:r w:rsidR="00E662D8" w:rsidRPr="007A4C7A">
        <w:rPr>
          <w:rFonts w:ascii="Bookman Old Style" w:hAnsi="Bookman Old Style" w:cs="Times New Roman"/>
          <w:sz w:val="28"/>
          <w:szCs w:val="28"/>
        </w:rPr>
        <w:t>3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человек на км</w:t>
      </w:r>
      <w:r w:rsidRPr="007A4C7A">
        <w:rPr>
          <w:rFonts w:ascii="Bookman Old Style" w:hAnsi="Bookman Old Style" w:cs="Times New Roman"/>
          <w:sz w:val="28"/>
          <w:szCs w:val="28"/>
          <w:vertAlign w:val="superscript"/>
        </w:rPr>
        <w:t>2</w:t>
      </w:r>
      <w:r w:rsidRPr="007A4C7A">
        <w:rPr>
          <w:rFonts w:ascii="Bookman Old Style" w:hAnsi="Bookman Old Style" w:cs="Times New Roman"/>
          <w:sz w:val="28"/>
          <w:szCs w:val="28"/>
        </w:rPr>
        <w:t>.</w:t>
      </w: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Все сельские поселения соединены с районным центром дорогами с твердым покрытием. </w:t>
      </w: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Район расположен в лесостепи. Площадь лесного фонда равна 1495 тыс. га, лесная и покрытая лесом – 14,2 тыс. га, лесистость – 5,6 %.</w:t>
      </w: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Охотничье-промысловая фауна небогата из-за отсутствия пригодных местообитаний. В основном водятся косули, зайцы, корсаки, лисы и другие. Из полезных ископаемых -  суглинки кирпичные.</w:t>
      </w: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65300C" w:rsidRPr="007A4C7A" w:rsidRDefault="0065300C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t>Сельское хозяйство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Объемы производства продукции сельского хозяйства всеми производителями, включая ЛПХ, в 2020 году достигли показателя 2855 млн. рублей против 2219 млн. рублей в 2019 году.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Рост объемов производства в денежном выражении связан в большей степени с ростом цен на продукцию растениеводства, а также с увеличением валового объема производства продукции растениеводства более чем на 10 %. Вместе с этим, отрасль животноводства показывает снижение по всем показателям (в сельхозпредприятиях): производство молока на 12 %, производство мяса на 14 %, поголовье КРС на 20 %, в т. ч. коров на 27 %.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План заготовки сена хозяйствами района выполнен на 77,3 %, по закладке сенажа на 132,8 %, силоса на 26,7 %.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lastRenderedPageBreak/>
        <w:t>Предстояло убрать зерновых и зернобобовых культур на площади 63427 гектара. Уборочные работы выполнены на 95,8 %. Валовой сбор составил 123,1 тыс. тонн при урожайности 19,4 ц/га. 28 центнеров с гектара получили ОАО «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Жуланка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». 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Хозяйства района обмолотили яровой рапс на площади 5589 га при средней урожайности 14,8 ц/га. Максимальную урожайность рапса получило ОАО «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Жуланка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>» – 34 ц/га.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АО «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Кудряшовское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>» возделывало сою на площади 4388 га при средней урожайности 18,9 ц/га. Кроме этого, ООО «МТС-Кулунда», а также ООО «Агроторг» собрали урожай льна. Средняя урожайность 16 ц/га.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Кроме уборочных работ проведена вспашка зяби под урожай будущего года на площади 34248 гектаров, это 92 % к плану на 2020 год. Отсыпано семян под посев 2021 года 135270 центнеров или 94,85 %. </w:t>
      </w:r>
    </w:p>
    <w:p w:rsidR="00B82686" w:rsidRPr="007A4C7A" w:rsidRDefault="00B82686" w:rsidP="00E662D8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09925"/>
            <wp:effectExtent l="0" t="0" r="1143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686" w:rsidRPr="007A4C7A" w:rsidRDefault="00B8268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Рисунок 1 – Основные показатели сельскохозяйственного производства.</w:t>
      </w:r>
    </w:p>
    <w:p w:rsidR="00D70FC2" w:rsidRPr="007A4C7A" w:rsidRDefault="00D70FC2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Заготовлено кормов для животноводства в зимовку 2020 – 2021 годов: сена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5002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тонн, 13006 тонн сенажа,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1145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тонн силоса, засыпано 2846 тонн фуража, что составляет 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23,5 </w:t>
      </w:r>
      <w:r w:rsidRPr="007A4C7A">
        <w:rPr>
          <w:rFonts w:ascii="Bookman Old Style" w:hAnsi="Bookman Old Style" w:cs="Times New Roman"/>
          <w:sz w:val="28"/>
          <w:szCs w:val="28"/>
        </w:rPr>
        <w:t>ц кормовых единиц на 1 условную голову.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lastRenderedPageBreak/>
        <w:t xml:space="preserve">Животноводством в Кочковском районе занимаются 6 хозяйств. Из них 5 хозяйства – молочным скотоводством, 1 – мясным. Всего крупного рогатого скота во всех категориях хозяйств имеется 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12556 </w:t>
      </w:r>
      <w:r w:rsidRPr="007A4C7A">
        <w:rPr>
          <w:rFonts w:ascii="Bookman Old Style" w:hAnsi="Bookman Old Style" w:cs="Times New Roman"/>
          <w:sz w:val="28"/>
          <w:szCs w:val="28"/>
        </w:rPr>
        <w:t>голов, что ниже уровня прошлого года на 16 %.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Продуктивность дойного стада возросла и составила 4042 кг на одну фуражную корову (108,5 % к 2019 году), валовое производство молока – 18913,6 тонн в хозяйствах всех категорий.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Валовой привес молодняка КРС составил 500,2 тонн, что ниже уровня 2019 года на 32 %, среднесуточный привес – 422 г или 86,8 % к уровню 2019 года. 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В 2020 году в хозяйствах района произошло уменьшение падежа КРС на 55,4 % к уровню прошлого года. Наибольший падеж наблюдается в ОАО «Алтайский продукт 22» (157 голов – 10,8 % к обороту стада). В хозяйствах всех категорий кроме КРС имеются лошади (407 голов).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Вы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ручка от реализации продукции, товаров, работ и услуг за отчетный период составила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1006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 руб., в том числе от реализации сельскохозяйственной продукции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собственного производства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–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945,1,9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руб. (</w:t>
      </w:r>
      <w:r w:rsidRPr="007A4C7A">
        <w:rPr>
          <w:rFonts w:ascii="Bookman Old Style" w:hAnsi="Bookman Old Style" w:cs="Times New Roman"/>
          <w:bCs/>
          <w:sz w:val="28"/>
          <w:szCs w:val="28"/>
        </w:rPr>
        <w:t>93,9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%).  Финансовый результат за 20</w:t>
      </w:r>
      <w:r w:rsidRPr="007A4C7A">
        <w:rPr>
          <w:rFonts w:ascii="Bookman Old Style" w:hAnsi="Bookman Old Style" w:cs="Times New Roman"/>
          <w:bCs/>
          <w:sz w:val="28"/>
          <w:szCs w:val="28"/>
        </w:rPr>
        <w:t>20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год до налогообложения в целом по району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положительный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и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прибыль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по своду составляет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267,2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руб.,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одно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хозяйств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о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за отчетный период (ООО «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Индерское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») получил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о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убыток в размере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0,4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руб. 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За отчетный период сельскохозяйственными предприятиями, КФХ и ЛПХ района получено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субсидий из бюджетов всех уровней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47,2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 руб.</w:t>
      </w:r>
    </w:p>
    <w:p w:rsidR="00E662D8" w:rsidRPr="007A4C7A" w:rsidRDefault="00E662D8" w:rsidP="00E662D8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Государственная поддержка сельскохозяйственного производства Кочковского района в целом за 20</w:t>
      </w:r>
      <w:r w:rsidRPr="007A4C7A">
        <w:rPr>
          <w:rFonts w:ascii="Bookman Old Style" w:hAnsi="Bookman Old Style" w:cs="Times New Roman"/>
          <w:bCs/>
          <w:sz w:val="28"/>
          <w:szCs w:val="28"/>
        </w:rPr>
        <w:t>20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год осуществлялась из федерального (</w:t>
      </w:r>
      <w:r w:rsidRPr="007A4C7A">
        <w:rPr>
          <w:rFonts w:ascii="Bookman Old Style" w:hAnsi="Bookman Old Style" w:cs="Times New Roman"/>
          <w:bCs/>
          <w:sz w:val="28"/>
          <w:szCs w:val="28"/>
        </w:rPr>
        <w:t>16,8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руб.) и областного (</w:t>
      </w:r>
      <w:r w:rsidRPr="007A4C7A">
        <w:rPr>
          <w:rFonts w:ascii="Bookman Old Style" w:hAnsi="Bookman Old Style" w:cs="Times New Roman"/>
          <w:bCs/>
          <w:sz w:val="28"/>
          <w:szCs w:val="28"/>
        </w:rPr>
        <w:t>30,4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руб.) бюджетов по следующим направлениям: на поддержку элитного семеноводства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1,9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 руб.,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возмещение части затрат на приобретение оригинальных семян (за исключением элиты и суперэлиты) - 0,1 млн. руб., проведение комплекса агротехнологических работ (компенсирующая часть)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по растениеводству на 1 га посева составила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2,6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 руб.</w:t>
      </w:r>
      <w:r w:rsidRPr="007A4C7A">
        <w:rPr>
          <w:rFonts w:ascii="Bookman Old Style" w:hAnsi="Bookman Old Style" w:cs="Times New Roman"/>
          <w:bCs/>
          <w:sz w:val="28"/>
          <w:szCs w:val="28"/>
        </w:rPr>
        <w:t>,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 xml:space="preserve">возмещение части затрат на прирост валового производства 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lastRenderedPageBreak/>
        <w:t>зерновых</w:t>
      </w:r>
      <w:r w:rsidRPr="007A4C7A">
        <w:rPr>
          <w:rFonts w:ascii="Bookman Old Style" w:hAnsi="Bookman Old Style" w:cs="Times New Roman"/>
          <w:sz w:val="28"/>
          <w:szCs w:val="28"/>
        </w:rPr>
        <w:t>,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 xml:space="preserve"> зернобобовых культур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и масличных культур, за исключением рапса и сои (стимулирующая часть) – 0,5 млн. руб., возмещение части стоимости приобретаемых минеральных удобрений – 8,8 млн. руб., возмещение части стоимости приобретаемых средств защиты растений – 4.4 млн. руб., 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 xml:space="preserve">поддержка собственного производства молока (компенсирующая часть) – </w:t>
      </w:r>
      <w:r w:rsidRPr="007A4C7A">
        <w:rPr>
          <w:rFonts w:ascii="Bookman Old Style" w:hAnsi="Bookman Old Style" w:cs="Times New Roman"/>
          <w:sz w:val="28"/>
          <w:szCs w:val="28"/>
        </w:rPr>
        <w:t>2,4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 xml:space="preserve"> млн. руб</w:t>
      </w:r>
      <w:r w:rsidRPr="007A4C7A">
        <w:rPr>
          <w:rFonts w:ascii="Bookman Old Style" w:hAnsi="Bookman Old Style" w:cs="Times New Roman"/>
          <w:bCs/>
          <w:sz w:val="28"/>
          <w:szCs w:val="28"/>
        </w:rPr>
        <w:t>.,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 xml:space="preserve"> 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поддержка 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>прирост</w:t>
      </w:r>
      <w:r w:rsidRPr="007A4C7A">
        <w:rPr>
          <w:rFonts w:ascii="Bookman Old Style" w:hAnsi="Bookman Old Style" w:cs="Times New Roman"/>
          <w:sz w:val="28"/>
          <w:szCs w:val="28"/>
        </w:rPr>
        <w:t>а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 xml:space="preserve"> реализованного молока (стимулирующая часть)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- 1,7 млн. руб., 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>государственная поддержка племенного животноводства (приобретение семени племенных животных-производителей)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– 2,3 млн. руб.,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компенсация затрат по приобретению техники и оборудования в сумме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10,3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руб.,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н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>а возмещение части затрат на уплату процентов по инвестиционным кредит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ам - 0,4 млн. руб., поддержка производства масличных культур (рапс и соя) – 3,5 млн. руб., возмещение части затрат за проведение диагностических исследований на лейкоз крупного рогатого скота – 0,06 млн. руб., возмещение стоимости приобретенных семян кукурузы – 0,2 млн. руб., возмещение части затрат на содержание товарного маточного поголовья крупного рогатого скота молочного направления – 1,7 млн. руб., 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 – 0,9 млн. руб., 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возмещение стоимости молодняка крупного рогатого скота, приобретенного личными подсобными хозяйствами – </w:t>
      </w:r>
      <w:r w:rsidRPr="007A4C7A">
        <w:rPr>
          <w:rFonts w:ascii="Bookman Old Style" w:hAnsi="Bookman Old Style" w:cs="Times New Roman"/>
          <w:bCs/>
          <w:sz w:val="28"/>
          <w:szCs w:val="28"/>
        </w:rPr>
        <w:t>0,7</w:t>
      </w:r>
      <w:r w:rsidRPr="007A4C7A">
        <w:rPr>
          <w:rFonts w:ascii="Bookman Old Style" w:hAnsi="Bookman Old Style" w:cs="Times New Roman"/>
          <w:bCs/>
          <w:sz w:val="28"/>
          <w:szCs w:val="28"/>
          <w:lang w:val="x-none"/>
        </w:rPr>
        <w:t xml:space="preserve"> млн. руб.</w:t>
      </w: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, </w:t>
      </w:r>
      <w:r w:rsidRPr="007A4C7A">
        <w:rPr>
          <w:rFonts w:ascii="Bookman Old Style" w:hAnsi="Bookman Old Style" w:cs="Times New Roman"/>
          <w:sz w:val="28"/>
          <w:szCs w:val="28"/>
          <w:lang w:val="x-none"/>
        </w:rPr>
        <w:t>государственная поддержка К(Ф)Х, индивидуальным предпринимателям, осуществляющим сельскохозяйственное производство, увеличившим посевные площади по сравнению с предыдущим годом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- 0,7 млн. руб., субсидия на создание системы поддержки фермеров и развитие сельской кооперации (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Агростартап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>) – 1,2 млн. руб., единовременные выплаты молодым специалистам – 0,2 млн. рублей, субсидии на обеспечение комплексного развития сельских территорий (жилье) – 2,1 млн. руб.</w:t>
      </w:r>
    </w:p>
    <w:p w:rsidR="00095DA7" w:rsidRPr="007A4C7A" w:rsidRDefault="00095DA7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36661A" w:rsidRPr="007A4C7A" w:rsidRDefault="0036661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36661A" w:rsidRPr="007A4C7A" w:rsidRDefault="0036661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B79F1" w:rsidRPr="007A4C7A" w:rsidRDefault="00DB79F1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lastRenderedPageBreak/>
        <w:t>Промышленность.</w:t>
      </w:r>
    </w:p>
    <w:p w:rsidR="001C575A" w:rsidRPr="007A4C7A" w:rsidRDefault="001C575A" w:rsidP="001C575A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Увеличение объема выпускаемой продукции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Кочковским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мясокомбинатом, а также возобновление работы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хлебокомбината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Кочковского ПТПК в новом помещении позволили обеспечить общий рост объема промышленного производства района на 6,2%, который составил 31,3 млн. рублей, не смотря на прекращение выпуска продукции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Кочковским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лесхозом. Кроме этого, в четвертом квартале 2020 года прекратили выпуск продукции в пекарне ОАО «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Решетовское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>» в связи со снижением востребованности продукции и, соответственно, экономической стагнацией производства.</w:t>
      </w:r>
    </w:p>
    <w:p w:rsidR="006A19B2" w:rsidRPr="007A4C7A" w:rsidRDefault="006A19B2" w:rsidP="009B4C9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DB79F1" w:rsidRPr="007A4C7A" w:rsidRDefault="00DB79F1" w:rsidP="009B4C9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2905125"/>
            <wp:effectExtent l="0" t="0" r="1143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79F1" w:rsidRPr="007A4C7A" w:rsidRDefault="00DB79F1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Рисунок 2 – Промышленное производство</w:t>
      </w:r>
      <w:r w:rsidR="0034641A" w:rsidRPr="007A4C7A">
        <w:rPr>
          <w:rFonts w:ascii="Bookman Old Style" w:hAnsi="Bookman Old Style" w:cs="Times New Roman"/>
          <w:sz w:val="28"/>
          <w:szCs w:val="28"/>
        </w:rPr>
        <w:t>.</w:t>
      </w:r>
    </w:p>
    <w:p w:rsidR="00DB79F1" w:rsidRPr="007A4C7A" w:rsidRDefault="00DB79F1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F5538" w:rsidRPr="007A4C7A" w:rsidRDefault="00EF553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t>Малое и среднее предпринимательство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bookmarkStart w:id="0" w:name="_Hlk507659485"/>
      <w:r w:rsidRPr="007A4C7A">
        <w:rPr>
          <w:rFonts w:ascii="Bookman Old Style" w:hAnsi="Bookman Old Style" w:cs="Times New Roman"/>
          <w:bCs/>
          <w:sz w:val="28"/>
          <w:szCs w:val="28"/>
        </w:rPr>
        <w:t>Потребительский рынок Кочковского района представлен 142 объектами торговли и 26 объектами общественного питания.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Торговое обслуживание населения через стационарную торговую сеть производится практически в 13 населенных пунктах района. В 12 населенных пунктах действуют магазины потребительской кооперации.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Удельный вес магазинов потребительского общества составляет 17,6 % от общего количества предприятий торговли.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Объем оборота торговли за 2020 год в целом по району составил 997,1 млн. рублей к соответствующему периоду </w:t>
      </w:r>
      <w:r w:rsidRPr="007A4C7A">
        <w:rPr>
          <w:rFonts w:ascii="Bookman Old Style" w:hAnsi="Bookman Old Style" w:cs="Times New Roman"/>
          <w:bCs/>
          <w:sz w:val="28"/>
          <w:szCs w:val="28"/>
        </w:rPr>
        <w:lastRenderedPageBreak/>
        <w:t>прошлого года 101,6 %. На душу населения приходится 74594,3 руб., что на 3,5 % выше уровня прошлого года.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Объем продаж потребительской кооперации, включая общественное питание, составил 171,9 млн. рублей (17,2 % от общего оборота торговли района).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В отчетном году на территории района открылось 12 магазинов, а именно: мебельный магазин в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с.Кочки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, магазин автозапчастей в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с.Кочки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, три магазина со схожим ассортиментом «Хмельной стан», «Медный великан» и «Берлога» в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с.Кочки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>, магазин, специализирующийся на продаже изделий из мяса курицы «Курочка рядом», аптека в с. Решеты. Предприятием системы потребкооперации открыта пекарня и магазин «Колосок», реализующий горячую выпечку.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Также в 2020 году были открыты павильон по продаже кормов для животных в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с.Кочки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и павильон с ассортиментом продовольственных товаров в п.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Букреево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Плесо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. 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Для предприятий общественного питания 2020 год стал настоящим испытанием ввиду временного запрета на осуществление деятельности и дальнейших ограничений, установленных в связи с распространением </w:t>
      </w:r>
      <w:proofErr w:type="spellStart"/>
      <w:r w:rsidRPr="007A4C7A">
        <w:rPr>
          <w:rFonts w:ascii="Bookman Old Style" w:hAnsi="Bookman Old Style" w:cs="Times New Roman"/>
          <w:bCs/>
          <w:sz w:val="28"/>
          <w:szCs w:val="28"/>
        </w:rPr>
        <w:t>коронавирусной</w:t>
      </w:r>
      <w:proofErr w:type="spellEnd"/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 инфекции. Тем не менее, все предприятия продолжили осуществлять свою деятельность, кроме столовой ОАО «Черновское», обслуживающей работников предприятия, ввиду банкротства организации.</w:t>
      </w:r>
    </w:p>
    <w:p w:rsidR="002055F2" w:rsidRPr="007A4C7A" w:rsidRDefault="002055F2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Общий объем платных услуг составил 122,6 млн. рублей. В том числе оказано бытовых услуг населению на сумму 8,55 млн. рублей.</w:t>
      </w:r>
      <w:bookmarkEnd w:id="0"/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На 01.01.2021 на территории района насчитывается 281 субъект малого бизнеса. В этой сфере занято около 1,1 тыс. человек. Наибольший удельный вес в структуре направлений малого предпринимательства занимают предприятия торговли – 35 %, отрасль частных грузовых и пассажирских перевозок занимает 23 % от общего количества субъектов бизнеса, 15 % занято производством продукции сельского хозяйства, предоставлением услуг занимается 12 %.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В 2020 году в рамках реализации мероприятий муниципальной программы «Развитие субъектов малого и </w:t>
      </w:r>
      <w:r w:rsidRPr="007A4C7A">
        <w:rPr>
          <w:rFonts w:ascii="Bookman Old Style" w:hAnsi="Bookman Old Style" w:cs="Times New Roman"/>
          <w:bCs/>
          <w:sz w:val="28"/>
          <w:szCs w:val="28"/>
        </w:rPr>
        <w:lastRenderedPageBreak/>
        <w:t>среднего предпринимательства в Кочковском районе Новосибирской области на 2019-2023 годы» была оказана поддержка индивидуальному предпринимателю Долгову Ю.П. в размере 239,2 тыс. рублей за счет средств областного бюджета на обеспечение части затрат на оборудование.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 xml:space="preserve">Еще один предприниматель, оказывающий услуги по ремонту обуви, получил поддержку в рамках государственной программы развития СМП на возмещение части затрат по уплаченным арендным платежам в размере 35 700 рублей. 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В 2020 году субъекты малого бизнеса пользовались инструментами государственной поддержки, оказываемыми Фондом развития малого и среднего предпринимательства Новосибирской области и Фондом микрофинансирования НСО. Субъектам МСП, осуществляющим деятельность на территории района, были предоставлены банковские гарантии, позволившие привлечь 13,5 млн. рублей, а также получены два кредита на сумму 2,3 млн. рублей по льготной ставке 4,25 % годовых.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7A4C7A">
        <w:rPr>
          <w:rFonts w:ascii="Bookman Old Style" w:hAnsi="Bookman Old Style" w:cs="Times New Roman"/>
          <w:bCs/>
          <w:sz w:val="28"/>
          <w:szCs w:val="28"/>
        </w:rPr>
        <w:t>В 2020 году Центром занятости населения проводился конкурс на оказание финансовой поддержки гражданам, состоящим на учете в качестве безработных, для организации собственного бизнеса. В результате рассмотрения заявок финансовая поддержка оказана девяти безработным гражданам. В настоящее время все граждане, получившие поддержку, встали на учет в налоговых органах в качестве индивидуальных предпринимателей.</w:t>
      </w:r>
    </w:p>
    <w:p w:rsidR="009F7311" w:rsidRPr="007A4C7A" w:rsidRDefault="009F7311" w:rsidP="002055F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sz w:val="28"/>
          <w:szCs w:val="28"/>
        </w:rPr>
      </w:pPr>
    </w:p>
    <w:p w:rsidR="00AB31ED" w:rsidRPr="007A4C7A" w:rsidRDefault="00AB31ED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t>Строительство и инвестиции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На развитие экономики района за 2020 инвестировано 485,9 млн. рублей (126 % к уровню 2019 года).   </w:t>
      </w:r>
    </w:p>
    <w:p w:rsidR="00685940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253,7 млн. рублей вложено в развитие сельского хозяйства, в т. ч. 10,3 млн. рублей из бюджетов всех уровней. </w:t>
      </w: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Сельхозтоваропроизводителями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 приобретено техники и оборудования на 190 млн. рублей. 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91440" distB="91440" distL="228600" distR="91440" simplePos="0" relativeHeight="251659264" behindDoc="0" locked="0" layoutInCell="0" allowOverlap="1" wp14:anchorId="3BA38F38" wp14:editId="0CBA2439">
                <wp:simplePos x="0" y="0"/>
                <wp:positionH relativeFrom="margin">
                  <wp:posOffset>3551527</wp:posOffset>
                </wp:positionH>
                <wp:positionV relativeFrom="margin">
                  <wp:posOffset>1997710</wp:posOffset>
                </wp:positionV>
                <wp:extent cx="2903220" cy="1200150"/>
                <wp:effectExtent l="0" t="0" r="0" b="0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B31ED" w:rsidRPr="00736111" w:rsidRDefault="00AB31ED" w:rsidP="004D550E">
                            <w:pPr>
                              <w:pBdr>
                                <w:top w:val="single" w:sz="4" w:space="7" w:color="2E74B5" w:themeColor="accent5" w:themeShade="BF"/>
                                <w:left w:val="single" w:sz="4" w:space="8" w:color="2E74B5" w:themeColor="accent5" w:themeShade="BF"/>
                                <w:bottom w:val="single" w:sz="4" w:space="5" w:color="2E74B5" w:themeColor="accent5" w:themeShade="BF"/>
                                <w:right w:val="single" w:sz="4" w:space="8" w:color="2E74B5" w:themeColor="accent5" w:themeShade="BF"/>
                              </w:pBdr>
                              <w:shd w:val="clear" w:color="auto" w:fill="5B9BD5" w:themeFill="accent5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6111">
                              <w:rPr>
                                <w:rFonts w:ascii="Bookman Old Style" w:hAnsi="Bookman Old Sty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Общий объем инвестиций составил </w:t>
                            </w:r>
                            <w:r w:rsidR="009F7311">
                              <w:rPr>
                                <w:rFonts w:ascii="Bookman Old Style" w:hAnsi="Bookman Old Sty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485,9</w:t>
                            </w:r>
                            <w:r w:rsidRPr="00736111">
                              <w:rPr>
                                <w:rFonts w:ascii="Bookman Old Style" w:hAnsi="Bookman Old Sty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млн. рублей</w:t>
                            </w:r>
                          </w:p>
                          <w:p w:rsidR="00AB31ED" w:rsidRDefault="00AB31ED" w:rsidP="00AB31ED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8F38" id="Прямоугольник 6" o:spid="_x0000_s1026" style="position:absolute;left:0;text-align:left;margin-left:279.65pt;margin-top:157.3pt;width:228.6pt;height:94.5pt;z-index:251659264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U1bQIAAOMEAAAOAAAAZHJzL2Uyb0RvYy54bWysVM2O0zAQviPxDpbvNE12qdio6WrV1SKk&#10;BVYsPIDrOE1E4jFjt2k5IXFdiUfgIbggfvYZ0jdi7LRlC6dFXKx4PN/MNzPfZHy6amq2VGgr0BmP&#10;B0POlJaQV3qe8TevLx494cw6oXNRg1YZXyvLTycPH4xbk6oESqhzhYyCaJu2JuOlcyaNIitL1Qg7&#10;AKM0PRaAjXB0xXmUo2gpelNHyXA4ilrA3CBIZS1Zz/tHPgnxi0JJ97IorHKszjhxc+HEcM78GU3G&#10;Ip2jMGUltzTEP7BoRKUp6T7UuXCCLbD6K1RTSQQLhRtIaCIoikqqUANVEw//qOa6FEaFWqg51uzb&#10;ZP9fWPlieYWsyjM+4kyLhkbUfd582HzqfnS3m4/dl+62+7656X52X7tvbOT71RqbEuzaXKGv2JpL&#10;kG8t0zAthZ6rM0RoSyVyYhl7/+gA4C+WoGzWPoec0omFg9C6VYGND0hNYaswofV+QmrlmCRjcjI8&#10;ShIapKS3mAQQPw4zjES6gxu07qmChvmPjCNJIIQXy0vrPB2R7lx8Ng0XVV0HGdT6wECO3hLoe8Z9&#10;5data+X9av1KFdS5QNUbrMT5bFoj6+VF+ieeO5GFYATwjgUlvCd2C/FoFVR9T/weFPKDdnt8U2nA&#10;0KCwc8oXsBS0LUJKpV0/QeLcY3bt6JvgZ+lWs9VWFDPI1zRYhH7L6K9AHyXge85a2rCM23cLgYqz&#10;+pkmcSTx8ChOaCfD7SQ+PqZ+4cHT7O6T0JKCZVw65Ky/TF3f64XBal5StjhUouGMRFVUYdyeZM9s&#10;S542Kahgu/V+Ve/eg9fvf9PkFwAAAP//AwBQSwMEFAAGAAgAAAAhAO0OK8TiAAAADAEAAA8AAABk&#10;cnMvZG93bnJldi54bWxMj8tOwzAQRfdI/IM1SGwQtdOQqIQ4FVRCgk1RSsXaiYc4xY8odtP073FX&#10;sBzdo3vPlOvZaDLh6HtnOSQLBgRt62RvOw77z9f7FRAfhJVCO4sczuhhXV1flaKQ7mRrnHahI7HE&#10;+kJwUCEMBaW+VWiEX7gBbcy+3WhEiOfYUTmKUyw3mi4Zy6kRvY0LSgy4Udj+7I6Gw53ebt6W/Vk1&#10;Yz19HL7e64NyL5zf3szPT0ACzuEPhot+VIcqOjXuaKUnmkOWPaYR5ZAmDzmQC8GSPAPSxIylOdCq&#10;pP+fqH4BAAD//wMAUEsBAi0AFAAGAAgAAAAhALaDOJL+AAAA4QEAABMAAAAAAAAAAAAAAAAAAAAA&#10;AFtDb250ZW50X1R5cGVzXS54bWxQSwECLQAUAAYACAAAACEAOP0h/9YAAACUAQAACwAAAAAAAAAA&#10;AAAAAAAvAQAAX3JlbHMvLnJlbHNQSwECLQAUAAYACAAAACEAa/VlNW0CAADjBAAADgAAAAAAAAAA&#10;AAAAAAAuAgAAZHJzL2Uyb0RvYy54bWxQSwECLQAUAAYACAAAACEA7Q4rxOIAAAAMAQAADwAAAAAA&#10;AAAAAAAAAADHBAAAZHJzL2Rvd25yZXYueG1sUEsFBgAAAAAEAAQA8wAAANYFAAAAAA==&#10;" o:allowincell="f" filled="f" stroked="f">
                <v:textbox inset="16.56pt,7.2pt,16.56pt,7.2pt">
                  <w:txbxContent>
                    <w:p w:rsidR="00AB31ED" w:rsidRPr="00736111" w:rsidRDefault="00AB31ED" w:rsidP="004D550E">
                      <w:pPr>
                        <w:pBdr>
                          <w:top w:val="single" w:sz="4" w:space="7" w:color="2E74B5" w:themeColor="accent5" w:themeShade="BF"/>
                          <w:left w:val="single" w:sz="4" w:space="8" w:color="2E74B5" w:themeColor="accent5" w:themeShade="BF"/>
                          <w:bottom w:val="single" w:sz="4" w:space="5" w:color="2E74B5" w:themeColor="accent5" w:themeShade="BF"/>
                          <w:right w:val="single" w:sz="4" w:space="8" w:color="2E74B5" w:themeColor="accent5" w:themeShade="BF"/>
                        </w:pBdr>
                        <w:shd w:val="clear" w:color="auto" w:fill="5B9BD5" w:themeFill="accent5"/>
                        <w:jc w:val="both"/>
                        <w:rPr>
                          <w:rFonts w:ascii="Bookman Old Style" w:hAnsi="Bookman Old Style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6111">
                        <w:rPr>
                          <w:rFonts w:ascii="Bookman Old Style" w:hAnsi="Bookman Old Style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Общий объем инвестиций составил </w:t>
                      </w:r>
                      <w:r w:rsidR="009F7311">
                        <w:rPr>
                          <w:rFonts w:ascii="Bookman Old Style" w:hAnsi="Bookman Old Style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485,9</w:t>
                      </w:r>
                      <w:r w:rsidRPr="00736111">
                        <w:rPr>
                          <w:rFonts w:ascii="Bookman Old Style" w:hAnsi="Bookman Old Style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млн. рублей</w:t>
                      </w:r>
                    </w:p>
                    <w:p w:rsidR="00AB31ED" w:rsidRDefault="00AB31ED" w:rsidP="00AB31ED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A4C7A">
        <w:rPr>
          <w:rFonts w:ascii="Bookman Old Style" w:hAnsi="Bookman Old Style" w:cs="Times New Roman"/>
          <w:sz w:val="28"/>
          <w:szCs w:val="28"/>
        </w:rPr>
        <w:t xml:space="preserve">В рамках реализации НП «Демография» 4 млн. рублей инвестировано в приобретение оборудования для отделения дневного пребывания и отделения милосердия, автомобиля с подъёмником для организации работы служб «Мобильная бригада». 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В рамках реализации НП «Жильё и городская среда» в селе Кочки реализуются мероприятия федерального проекта «Формирование комфортной городской среды». В текущем году направлено более 6,5 млн. рублей.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В рамках реализации НП «Образование» на базе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Кочковской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средней школы открыт образовательный центр «Точки роста». В рамках реализации данного проекта освоено 2,7 млн. рублей. В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Красносибирской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средней школе произведён капитальный ремонт спортивного зала на сумму 1.4 млн. рублей. 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В рамках реализации НП «Культура» реализован на базе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Кочковской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библиотеки проект по созданию детской модельной библиотеки. Сумма федеральных средств освоена в размере 5 млн. рублей на разработку дизайн-проекта, ремонт помещений, приобретение мебели и оборудования, пополнение книжного фонда. Дополнительно к федеральному финансированию выделено 4,4 млн. рублей из резервного фонда Новосибирской области и 600 тыс. рублей из местного бюджета на капитальный ремонт помещений первого этажа и замену кровли здания библиотеки. 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Выполнены ремонтные работы в образовательных организациях Кочковского района. В Кочковском детском саду произведена замена оконных блоков, а также реконструирован узел учета тепловой энергии. В ряде школ и детских садов заменены и смонтированы противопожарные сигнализации и пр. Произведен капитальный ремонт с частичной заменой окон </w:t>
      </w: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Черновской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 школы. Межрайонным аграрным лицеем приобретен зерноуборочный комбайн, заменен отопительный котел в котельной.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7A4C7A">
        <w:rPr>
          <w:rFonts w:ascii="Bookman Old Style" w:hAnsi="Bookman Old Style" w:cs="Times New Roman"/>
          <w:bCs/>
          <w:iCs/>
          <w:sz w:val="28"/>
          <w:szCs w:val="28"/>
        </w:rPr>
        <w:lastRenderedPageBreak/>
        <w:t xml:space="preserve">Продолжены работы по облицовке фасада здания ДК Юность в </w:t>
      </w: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с.Кочки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, отремонтирован пол в танцевальном зале, отремонтирована кровля запасного выхода, отремонтирован коридор первого этажа.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Решетовским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 и Черновским сельсоветами приобретены жилые помещения.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</w:p>
    <w:p w:rsidR="004D550E" w:rsidRPr="007A4C7A" w:rsidRDefault="004D550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86013D" w:rsidRPr="007A4C7A" w:rsidRDefault="0086013D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t>Доходы населения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noProof/>
          <w:sz w:val="28"/>
          <w:szCs w:val="28"/>
          <w:lang w:eastAsia="ru-RU"/>
        </w:rPr>
      </w:pPr>
      <w:r w:rsidRPr="007A4C7A">
        <w:rPr>
          <w:rFonts w:ascii="Bookman Old Style" w:hAnsi="Bookman Old Style" w:cs="Times New Roman"/>
          <w:noProof/>
          <w:sz w:val="28"/>
          <w:szCs w:val="28"/>
          <w:lang w:eastAsia="ru-RU"/>
        </w:rPr>
        <w:t>Численность населения, проживающего в районе, составляет 13299 человек. В экономике занято 3648 человек, из них 681 человек занят в сельском хозяйстве.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</w:pPr>
      <w:r w:rsidRPr="007A4C7A"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  <w:t xml:space="preserve">На 31 декабря 2020 года в районе числится 4749 пенсионеров против 4801 пенсионеров в 2019 году. 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</w:pPr>
      <w:r w:rsidRPr="007A4C7A"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  <w:t>Уровень безработицы на конец года составил 6,3 %, что на уровне прошлого года.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</w:pPr>
      <w:r w:rsidRPr="007A4C7A"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  <w:t>Не смотря на тяжелую экономическую ситуацию в сфере производства, уровень заработной платы вырос на 103,2 %. Рост обусловлен, в первую очередь, увеличением уровня минимального размера оплаты труда работников.</w:t>
      </w:r>
    </w:p>
    <w:p w:rsidR="009F7311" w:rsidRPr="007A4C7A" w:rsidRDefault="009F7311" w:rsidP="009F7311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</w:pPr>
      <w:r w:rsidRPr="007A4C7A">
        <w:rPr>
          <w:rFonts w:ascii="Bookman Old Style" w:hAnsi="Bookman Old Style" w:cs="Times New Roman"/>
          <w:bCs/>
          <w:noProof/>
          <w:sz w:val="28"/>
          <w:szCs w:val="28"/>
          <w:lang w:eastAsia="ru-RU"/>
        </w:rPr>
        <w:t>Выше уровня прошлого года сложился среднедушевой доход населения и составил 16329 рублей (рост – 6,2 %).</w:t>
      </w:r>
    </w:p>
    <w:p w:rsidR="00E406C7" w:rsidRPr="007A4C7A" w:rsidRDefault="00E406C7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A72A7E" w:rsidRPr="007A4C7A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A4C7A">
        <w:rPr>
          <w:rFonts w:ascii="Bookman Old Style" w:hAnsi="Bookman Old Style" w:cs="Times New Roman"/>
          <w:b/>
          <w:sz w:val="28"/>
          <w:szCs w:val="28"/>
        </w:rPr>
        <w:t>Дорожное хозяйство и транспорт</w:t>
      </w:r>
    </w:p>
    <w:p w:rsidR="00A72A7E" w:rsidRPr="007A4C7A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Не смотря на отсутствие железной дороги, авиационного и речного транспортного сообщения Кочковский район характеризуется высокой транспортной доступностью. Это связано с пересечением территории района автодорогой Новосибирск-Павлодар, по которой осуществляется транспортное сообщение с Новосибирском. </w:t>
      </w:r>
    </w:p>
    <w:p w:rsidR="00A72A7E" w:rsidRPr="007A4C7A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Транспортная инфраструктура района представлена сетью автомобильных дорог протяженностью 438,7 км, в том числе 269,7 км дорог с твердым покрытием.</w:t>
      </w:r>
    </w:p>
    <w:p w:rsidR="00F42192" w:rsidRPr="007A4C7A" w:rsidRDefault="00CE7815" w:rsidP="00F421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Активно проводились дорожные работы на всей территории района. Произведены аварийно-восстановительные работы мостового перехода через реку Карасук в селе </w:t>
      </w: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Жуланка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, там же капитально отремонтировали дорогу по ул. Степная. Произведен </w:t>
      </w:r>
      <w:r w:rsidRPr="007A4C7A">
        <w:rPr>
          <w:rFonts w:ascii="Bookman Old Style" w:hAnsi="Bookman Old Style" w:cs="Times New Roman"/>
          <w:bCs/>
          <w:iCs/>
          <w:sz w:val="28"/>
          <w:szCs w:val="28"/>
        </w:rPr>
        <w:lastRenderedPageBreak/>
        <w:t xml:space="preserve">ремонт дороги с поднятием дорожного полотна по ул. Набережная в селе Кочки. В селе </w:t>
      </w: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Решёты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 xml:space="preserve"> произведена реконструкция дорог по улицам Калинина, </w:t>
      </w:r>
      <w:proofErr w:type="spellStart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Карасукская</w:t>
      </w:r>
      <w:proofErr w:type="spellEnd"/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, восстановлена часть дороги по ул. Щорса. Продолжается строительство тротуара вдоль автодороги, обслуживаемой ТУАД, пролегающей по населенному пункту с. Красная Сибирь. Отремонтирована часть дороги до п. Республиканский.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F42192" w:rsidRPr="007A4C7A" w:rsidRDefault="00F42192" w:rsidP="00F421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В рамках реализации НП «Безопасные и качественные автомобильные дороги» произведено дооборудование 7-ми пешеходных переходов вблизи образовательных организаций на сумму более 11 млн. рублей.</w:t>
      </w:r>
    </w:p>
    <w:p w:rsidR="003C1E4C" w:rsidRPr="007A4C7A" w:rsidRDefault="00CE7815" w:rsidP="00CE7815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О</w:t>
      </w:r>
      <w:r w:rsidR="003C1E4C" w:rsidRPr="007A4C7A">
        <w:rPr>
          <w:rFonts w:ascii="Bookman Old Style" w:hAnsi="Bookman Old Style" w:cs="Times New Roman"/>
          <w:sz w:val="28"/>
          <w:szCs w:val="28"/>
        </w:rPr>
        <w:t xml:space="preserve">бъем выполненных работ составил около </w:t>
      </w:r>
      <w:r w:rsidR="00A31CE5" w:rsidRPr="007A4C7A">
        <w:rPr>
          <w:rFonts w:ascii="Bookman Old Style" w:hAnsi="Bookman Old Style" w:cs="Times New Roman"/>
          <w:sz w:val="28"/>
          <w:szCs w:val="28"/>
        </w:rPr>
        <w:t>74,6</w:t>
      </w:r>
      <w:r w:rsidR="003C1E4C" w:rsidRPr="007A4C7A">
        <w:rPr>
          <w:rFonts w:ascii="Bookman Old Style" w:hAnsi="Bookman Old Style" w:cs="Times New Roman"/>
          <w:sz w:val="28"/>
          <w:szCs w:val="28"/>
        </w:rPr>
        <w:t xml:space="preserve"> млн. рублей. Объем выполненных работ по строительству и ремонту дорог регионального значения на территории района составил более </w:t>
      </w:r>
      <w:r w:rsidR="00A31CE5" w:rsidRPr="007A4C7A">
        <w:rPr>
          <w:rFonts w:ascii="Bookman Old Style" w:hAnsi="Bookman Old Style" w:cs="Times New Roman"/>
          <w:sz w:val="28"/>
          <w:szCs w:val="28"/>
        </w:rPr>
        <w:t>61,6</w:t>
      </w:r>
      <w:r w:rsidR="003C1E4C" w:rsidRPr="007A4C7A">
        <w:rPr>
          <w:rFonts w:ascii="Bookman Old Style" w:hAnsi="Bookman Old Style" w:cs="Times New Roman"/>
          <w:sz w:val="28"/>
          <w:szCs w:val="28"/>
        </w:rPr>
        <w:t xml:space="preserve"> млн. рублей.</w:t>
      </w:r>
    </w:p>
    <w:p w:rsidR="001C08A1" w:rsidRPr="007A4C7A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Все населенные пункты района имеют транспортное сообщение с районным и областным центром по дорогам с твердым покрытием. Воспользоваться регулярным автобусным сообщением имеет возможность 99,</w:t>
      </w:r>
      <w:r w:rsidR="00ED2C1C" w:rsidRPr="007A4C7A">
        <w:rPr>
          <w:rFonts w:ascii="Bookman Old Style" w:hAnsi="Bookman Old Style" w:cs="Times New Roman"/>
          <w:sz w:val="28"/>
          <w:szCs w:val="28"/>
        </w:rPr>
        <w:t>9</w:t>
      </w:r>
      <w:r w:rsidR="00AC4CC5" w:rsidRPr="007A4C7A">
        <w:rPr>
          <w:rFonts w:ascii="Bookman Old Style" w:hAnsi="Bookman Old Style" w:cs="Times New Roman"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sz w:val="28"/>
          <w:szCs w:val="28"/>
        </w:rPr>
        <w:t>% населения Кочковского района (не имеет регулярного транспортного сообщения пос. Новый Вокзал</w:t>
      </w:r>
      <w:r w:rsidR="00AC4CC5" w:rsidRPr="007A4C7A">
        <w:rPr>
          <w:rFonts w:ascii="Bookman Old Style" w:hAnsi="Bookman Old Style" w:cs="Times New Roman"/>
          <w:sz w:val="28"/>
          <w:szCs w:val="28"/>
        </w:rPr>
        <w:t xml:space="preserve">, пос. </w:t>
      </w:r>
      <w:proofErr w:type="spellStart"/>
      <w:r w:rsidR="00AC4CC5" w:rsidRPr="007A4C7A">
        <w:rPr>
          <w:rFonts w:ascii="Bookman Old Style" w:hAnsi="Bookman Old Style" w:cs="Times New Roman"/>
          <w:sz w:val="28"/>
          <w:szCs w:val="28"/>
        </w:rPr>
        <w:t>Земировский</w:t>
      </w:r>
      <w:proofErr w:type="spellEnd"/>
      <w:r w:rsidR="00AC4CC5" w:rsidRPr="007A4C7A">
        <w:rPr>
          <w:rFonts w:ascii="Bookman Old Style" w:hAnsi="Bookman Old Style" w:cs="Times New Roman"/>
          <w:sz w:val="28"/>
          <w:szCs w:val="28"/>
        </w:rPr>
        <w:t>, пос. Николаевский</w:t>
      </w:r>
      <w:r w:rsidRPr="007A4C7A">
        <w:rPr>
          <w:rFonts w:ascii="Bookman Old Style" w:hAnsi="Bookman Old Style" w:cs="Times New Roman"/>
          <w:sz w:val="28"/>
          <w:szCs w:val="28"/>
        </w:rPr>
        <w:t>). Перевозки пассажиров по внутрирайонным маршрутам, а также по маршрутам Кочки-Новосибирск и Кочки-Каргат осуществляет ООО «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Кочковское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АТП». </w:t>
      </w:r>
    </w:p>
    <w:p w:rsidR="00675BF0" w:rsidRPr="007A4C7A" w:rsidRDefault="00675BF0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A72A7E" w:rsidRPr="007A4C7A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2099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2A7E" w:rsidRPr="007A4C7A" w:rsidRDefault="0034641A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Рисунок 3 – Объем транспортных услуг.</w:t>
      </w:r>
    </w:p>
    <w:p w:rsidR="00A72A7E" w:rsidRPr="007A4C7A" w:rsidRDefault="00A72A7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1611CE" w:rsidRPr="007A4C7A" w:rsidRDefault="001611CE" w:rsidP="001611CE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bookmarkStart w:id="1" w:name="_Hlk480362329"/>
      <w:r w:rsidRPr="007A4C7A">
        <w:rPr>
          <w:rFonts w:ascii="Bookman Old Style" w:hAnsi="Bookman Old Style" w:cs="Times New Roman"/>
          <w:sz w:val="28"/>
          <w:szCs w:val="28"/>
        </w:rPr>
        <w:t>Объем грузовых перевозок составил 220 тыс. тонн, что выше уровня 2019 года на 5,7 %. Подавляющую часть перевозимых грузов составляет сельхозпродукция, объем которой в натуральном выражении вырос, соответственно, выросли объемы грузоперевозок.</w:t>
      </w:r>
    </w:p>
    <w:p w:rsidR="001611CE" w:rsidRPr="007A4C7A" w:rsidRDefault="001611CE" w:rsidP="001611CE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В числе наиболее пострадавших в связи с введением карантинных мер 2020 года оказалась сфера пассажирских перевозок. Число перевезенных пассажиров снизилось на 25 % и составило 142 тысячи. </w:t>
      </w:r>
    </w:p>
    <w:bookmarkEnd w:id="1"/>
    <w:p w:rsidR="00495768" w:rsidRPr="007A4C7A" w:rsidRDefault="00495768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34641A" w:rsidRPr="007A4C7A" w:rsidRDefault="0034641A" w:rsidP="009B4C92">
      <w:pPr>
        <w:numPr>
          <w:ilvl w:val="0"/>
          <w:numId w:val="2"/>
        </w:numPr>
        <w:spacing w:after="0" w:line="276" w:lineRule="auto"/>
        <w:jc w:val="center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  <w:t>Здравоохранение и здоровье населения</w:t>
      </w:r>
    </w:p>
    <w:p w:rsidR="00F42192" w:rsidRPr="007A4C7A" w:rsidRDefault="00F42192" w:rsidP="00F42192">
      <w:pPr>
        <w:spacing w:after="0" w:line="276" w:lineRule="auto"/>
        <w:ind w:left="1080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</w:p>
    <w:p w:rsidR="00024A4D" w:rsidRPr="007A4C7A" w:rsidRDefault="00024A4D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Система здравоохранения Кочковского района представлена ГБУЗ НСО «Кочковская ЦРБ», 3-мя врачебными амбулаториями, 13 фельдшерско-акушерскими пунктами. Мощность амбулаторно-поликлинических учреждений района составляет 350 посещений в смену. На базе ЦРБ функционирует отделение скорой помощи с 2-ми круглосуточными бригадами, с радиусом обслуживания на всю территорию района.</w:t>
      </w:r>
    </w:p>
    <w:p w:rsidR="007C1FCF" w:rsidRPr="007A4C7A" w:rsidRDefault="007C1FCF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Основными задачами органов местного самоуправления в сфере здравоохранения являются повышение доступности и </w:t>
      </w:r>
      <w:r w:rsidRPr="007A4C7A">
        <w:rPr>
          <w:rFonts w:ascii="Bookman Old Style" w:hAnsi="Bookman Old Style" w:cs="Times New Roman"/>
          <w:sz w:val="28"/>
          <w:szCs w:val="28"/>
        </w:rPr>
        <w:lastRenderedPageBreak/>
        <w:t xml:space="preserve">качества медицинских услуг, профилактика заболеваний и пропаганда здорового образа жизни. </w:t>
      </w:r>
    </w:p>
    <w:p w:rsidR="00685940" w:rsidRPr="007A4C7A" w:rsidRDefault="00685940" w:rsidP="00685940">
      <w:pPr>
        <w:spacing w:after="0" w:line="276" w:lineRule="auto"/>
        <w:ind w:firstLine="709"/>
        <w:jc w:val="both"/>
        <w:rPr>
          <w:rFonts w:ascii="Bookman Old Style" w:hAnsi="Bookman Old Style" w:cs="Times New Roman"/>
          <w:i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>В рамках реализации НП «Здравоохранение» приобретен санитарный автомобиль высокой проходимости для улучшения организации выездных форм работы с пациентами, поступил новый автомобиль «Скорой помощи», произведен капитальный ремонт системы отопления и замена оконных блоков в поликлинике, закуплено медицинское оборудование,</w:t>
      </w:r>
      <w:r w:rsidRPr="007A4C7A">
        <w:rPr>
          <w:rFonts w:ascii="Bookman Old Style" w:hAnsi="Bookman Old Style" w:cs="Times New Roman"/>
          <w:i/>
          <w:sz w:val="28"/>
          <w:szCs w:val="28"/>
        </w:rPr>
        <w:t xml:space="preserve"> </w:t>
      </w:r>
      <w:r w:rsidRPr="007A4C7A">
        <w:rPr>
          <w:rFonts w:ascii="Bookman Old Style" w:hAnsi="Bookman Old Style" w:cs="Times New Roman"/>
          <w:sz w:val="28"/>
          <w:szCs w:val="28"/>
        </w:rPr>
        <w:t xml:space="preserve">построено новое модульное здание ФАП в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п.Новые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 Решеты. </w:t>
      </w:r>
    </w:p>
    <w:p w:rsidR="00566980" w:rsidRPr="007A4C7A" w:rsidRDefault="00566980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3E10F7" w:rsidRPr="007A4C7A" w:rsidRDefault="003E10F7" w:rsidP="009B4C92">
      <w:pPr>
        <w:numPr>
          <w:ilvl w:val="0"/>
          <w:numId w:val="2"/>
        </w:numPr>
        <w:spacing w:after="0" w:line="276" w:lineRule="auto"/>
        <w:ind w:left="0" w:firstLine="709"/>
        <w:contextualSpacing/>
        <w:jc w:val="center"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  <w:t>Образование</w:t>
      </w:r>
    </w:p>
    <w:p w:rsidR="00F42192" w:rsidRPr="007A4C7A" w:rsidRDefault="00F42192" w:rsidP="00F42192">
      <w:pPr>
        <w:spacing w:after="0" w:line="276" w:lineRule="auto"/>
        <w:ind w:left="709"/>
        <w:contextualSpacing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Система образования Кочковского района включает в себя 22 образовательных организации - 12 школ, 8 дошкольных образовательных организаций и 2 учреждения дополнительного образования.  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Численность учащихся в школах района в течение года увеличилась на 26 детей (с 1399 на конец 2019-2020 учебного года до 1425 на начало 2020-2021 гг.).  В детских садах отрицательная динамика: детей не отдают в ДОУ, они воспитываются дома.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«</w:t>
      </w: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Жуланская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СШ» по итогам конкурсного отбора стала ресурсной образовательной организацией инклюзивного образования. Перед ней и организациями района стоит задача по приведению процесса инклюзивного обучения в нормативно-правовое русло и повышения доступности сопровождения детей с ОВЗ.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Кочковская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и </w:t>
      </w: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Букреевская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школы являлись участниками областного проекта «Сетевая дистанционная школа НСО» в 2019-2020 году. В новом уч. году этот проект будут реализовывать МБОУ «</w:t>
      </w: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Кочковская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СШ» и МКОУ «</w:t>
      </w: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Новорешетовская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СШ».   </w:t>
      </w: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Кочковская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школа продолжает реализацию регионального проекта «Модернизация школьной библиотеки». 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507 детей посещали ДОУ в 2020 году. Ежегодно в период комплектования (август, сентябрь) всем желающим в возрасте от 1,5 до 7 лет предоставляются места в детском саду. 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lastRenderedPageBreak/>
        <w:t>Кочковский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детский сад «Солнышко» стал победителем всероссийского смотра – конкурса «Образцовый детский сад».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Общий охват детей дополнительным образованием составляет 1252 человека из 1753 фактически проживающих на территории Кочковского района Новосибирской области (71,4%). Реализация федерального проекта «Успех каждого ребенка» ставит задачи по увеличению охвата детей дополнительными общеобразовательными программами до 75% к концу 2024 года.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В связи с </w:t>
      </w:r>
      <w:proofErr w:type="spellStart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коронавирусной</w:t>
      </w:r>
      <w:proofErr w:type="spellEnd"/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 xml:space="preserve"> инфекцией не была организована работа лагерей дневного пребывания и летнего оздоровления в ДОЛ «Березовая роща». 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В мае 2020 года на базе школ проведены 5 дневные учебные сборы для юношей 10-х классов (очно -1 день, 4 –заочно)</w:t>
      </w:r>
    </w:p>
    <w:p w:rsidR="00720CF4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Одно из ведущих условий правильного гармоничного развития и сохранения здоровья детей – обеспечение их полноценным горячим питанием. Охват горячим питанием учащихся школ составляет 98%, все дошкольники обеспечены 4 разовым горячим питанием. В каждом общеобразовательном учреждении организовано полноценное горячее питание льготных категорий обучающихся. Учащиеся 1-4 классов на 100% обеспечены бесплатным 2-х разовым питанием. Для организации бесплатного горячего питания общающихся начальных классов с 1.09.2020 району предоставлена субсидия в размере 638,4 тыс. руб.</w:t>
      </w:r>
    </w:p>
    <w:p w:rsidR="00F73643" w:rsidRPr="007A4C7A" w:rsidRDefault="00720CF4" w:rsidP="00720CF4">
      <w:pPr>
        <w:pStyle w:val="a8"/>
        <w:spacing w:line="276" w:lineRule="auto"/>
        <w:ind w:left="0" w:firstLine="709"/>
        <w:jc w:val="both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7A4C7A">
        <w:rPr>
          <w:rFonts w:ascii="Bookman Old Style" w:eastAsiaTheme="minorHAnsi" w:hAnsi="Bookman Old Style"/>
          <w:sz w:val="28"/>
          <w:szCs w:val="28"/>
          <w:lang w:eastAsia="en-US"/>
        </w:rPr>
        <w:t>С 1 сентября 2020 года в соответствии с поручением президента России осуществляются дополнительные выплаты классным руководителям в размере 5 тыс. рублей.</w:t>
      </w:r>
    </w:p>
    <w:p w:rsidR="00720CF4" w:rsidRPr="007A4C7A" w:rsidRDefault="00720CF4" w:rsidP="00720CF4">
      <w:pPr>
        <w:pStyle w:val="a8"/>
        <w:spacing w:line="276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492B96" w:rsidRPr="007A4C7A" w:rsidRDefault="00492B96" w:rsidP="009B4C92">
      <w:pPr>
        <w:numPr>
          <w:ilvl w:val="0"/>
          <w:numId w:val="2"/>
        </w:numPr>
        <w:spacing w:after="0" w:line="276" w:lineRule="auto"/>
        <w:jc w:val="center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  <w:t>Культура</w:t>
      </w:r>
    </w:p>
    <w:p w:rsidR="00F42192" w:rsidRPr="007A4C7A" w:rsidRDefault="00F42192" w:rsidP="00F42192">
      <w:pPr>
        <w:spacing w:after="0" w:line="276" w:lineRule="auto"/>
        <w:ind w:left="1080"/>
        <w:rPr>
          <w:rFonts w:ascii="Bookman Old Style" w:hAnsi="Bookman Old Style" w:cs="Times New Roman"/>
          <w:b/>
          <w:color w:val="171717" w:themeColor="background2" w:themeShade="1A"/>
          <w:sz w:val="28"/>
          <w:szCs w:val="28"/>
        </w:rPr>
      </w:pPr>
    </w:p>
    <w:p w:rsidR="00A05526" w:rsidRPr="007A4C7A" w:rsidRDefault="00A05526" w:rsidP="00A0552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На территории района успешно реализуют свою деятельность 13 культурно-досуговых организаций. </w:t>
      </w:r>
    </w:p>
    <w:p w:rsidR="00A05526" w:rsidRPr="007A4C7A" w:rsidRDefault="00A05526" w:rsidP="00A0552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На постоянной основе в учреждениях культуры функционируют 145 клубов и объединений по интересам, в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т.ч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 xml:space="preserve">. 70 детских, в которых занимаются 1746, в </w:t>
      </w:r>
      <w:proofErr w:type="spellStart"/>
      <w:r w:rsidRPr="007A4C7A">
        <w:rPr>
          <w:rFonts w:ascii="Bookman Old Style" w:hAnsi="Bookman Old Style" w:cs="Times New Roman"/>
          <w:sz w:val="28"/>
          <w:szCs w:val="28"/>
        </w:rPr>
        <w:t>т.ч</w:t>
      </w:r>
      <w:proofErr w:type="spellEnd"/>
      <w:r w:rsidRPr="007A4C7A">
        <w:rPr>
          <w:rFonts w:ascii="Bookman Old Style" w:hAnsi="Bookman Old Style" w:cs="Times New Roman"/>
          <w:sz w:val="28"/>
          <w:szCs w:val="28"/>
        </w:rPr>
        <w:t>.  детей 901.</w:t>
      </w:r>
    </w:p>
    <w:p w:rsidR="00F73643" w:rsidRPr="007A4C7A" w:rsidRDefault="00A05526" w:rsidP="00A0552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A4C7A">
        <w:rPr>
          <w:rFonts w:ascii="Bookman Old Style" w:hAnsi="Bookman Old Style" w:cs="Times New Roman"/>
          <w:sz w:val="28"/>
          <w:szCs w:val="28"/>
        </w:rPr>
        <w:t xml:space="preserve">За 2020 год организовано и проведено более 120 социально-значимых культурно-массовых мероприятий, участниками </w:t>
      </w:r>
      <w:r w:rsidRPr="007A4C7A">
        <w:rPr>
          <w:rFonts w:ascii="Bookman Old Style" w:hAnsi="Bookman Old Style" w:cs="Times New Roman"/>
          <w:sz w:val="28"/>
          <w:szCs w:val="28"/>
        </w:rPr>
        <w:lastRenderedPageBreak/>
        <w:t>которых стали более 4,5 тысяч жителей и гостей района. Из  числа наиболее ярких культурно-массовых мероприятий можно отметить: районный фестиваль исполнителей песен зимней тематики  «Метелица»;  XII районный конкурс детского творчества «Город Мастеров»; «Крошка Енот» спектакль для детей; народные гуляния в муниципальных образованиях района, посвящённые проводам зимы,  районный фестиваль военно-патриотической песни «Ради жизни на земле», посвященный 75-летию Победы в ВОВ 1941-1945г.г. торжественная встреча женщин-руководителей, «Букет из самых нежных чувств» праздничный концерт, посвященный Международному Женскому дню, Декада пожилых людей более 378 онлайн конкурсов и акций.</w:t>
      </w:r>
    </w:p>
    <w:p w:rsidR="00A05526" w:rsidRPr="007A4C7A" w:rsidRDefault="00A05526" w:rsidP="00A05526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E2543E" w:rsidRPr="007A4C7A" w:rsidRDefault="00E2543E" w:rsidP="009B4C92">
      <w:pPr>
        <w:pStyle w:val="a8"/>
        <w:numPr>
          <w:ilvl w:val="0"/>
          <w:numId w:val="2"/>
        </w:numPr>
        <w:spacing w:line="276" w:lineRule="auto"/>
        <w:ind w:left="0" w:firstLine="709"/>
        <w:jc w:val="center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b/>
          <w:color w:val="171717" w:themeColor="background2" w:themeShade="1A"/>
          <w:sz w:val="28"/>
          <w:szCs w:val="28"/>
        </w:rPr>
        <w:t>Физическая культура и спорт</w:t>
      </w:r>
    </w:p>
    <w:p w:rsidR="00F42192" w:rsidRPr="007A4C7A" w:rsidRDefault="00F42192" w:rsidP="00F42192">
      <w:pPr>
        <w:pStyle w:val="a8"/>
        <w:spacing w:line="276" w:lineRule="auto"/>
        <w:ind w:left="709"/>
        <w:rPr>
          <w:rFonts w:ascii="Bookman Old Style" w:hAnsi="Bookman Old Style"/>
          <w:color w:val="171717" w:themeColor="background2" w:themeShade="1A"/>
          <w:sz w:val="28"/>
          <w:szCs w:val="28"/>
        </w:rPr>
      </w:pPr>
    </w:p>
    <w:p w:rsidR="00D412B7" w:rsidRPr="007A4C7A" w:rsidRDefault="00D412B7" w:rsidP="00D412B7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В рамках муниципальной программы «Развитие физической культуры и спорта в Кочковском районе Новосибирской области» организовано и проведено 21 спортивно-массовых  </w:t>
      </w:r>
      <w:proofErr w:type="spellStart"/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мероприяте</w:t>
      </w:r>
      <w:proofErr w:type="spellEnd"/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по продвижению здорового образа жизни, развитию физической культуры и массового спорта, в которых приняло участие 961 спортсмен (районные соревнования по хоккею с шайбой на призы клуба «Золотая шайба», районные соревнования по лыжным гонкам среди учащихся СШ, Всероссийская массовая лыжная гонка «Лыжня России – 2020», IХ зимняя спартакиада пенсионеров Кочковского района, зимний Фестиваль ГТО среди учащихся СШ, открытый Чемпионат Кочковского района по зимнему рыболовному спорту, межрайонные турниры по хоккею с шайбой, Кросс нации, областной турнир по бильярду и др.</w:t>
      </w:r>
    </w:p>
    <w:p w:rsidR="009B4C92" w:rsidRPr="007A4C7A" w:rsidRDefault="00D412B7" w:rsidP="00D412B7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132 спортсмена района приняли участие в 11 зональных и финальных областных спортивно-массовых мероприятиях (Межрайонные турниры по хоккею с шайбой, шорт-треку и финальные соревнования ХI зимней Спартакиады муниципальных образований Новосибирской области, зональные и финальные соревнования IХ зимней Спартакиады пенсионеров Новосибирской области и др.).</w:t>
      </w:r>
    </w:p>
    <w:p w:rsidR="00B717EE" w:rsidRPr="007A4C7A" w:rsidRDefault="00B717EE" w:rsidP="009B4C92">
      <w:pPr>
        <w:pStyle w:val="a8"/>
        <w:spacing w:line="276" w:lineRule="auto"/>
        <w:ind w:left="0"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</w:p>
    <w:p w:rsidR="00E2543E" w:rsidRPr="007A4C7A" w:rsidRDefault="00E2543E" w:rsidP="009B4C92">
      <w:pPr>
        <w:numPr>
          <w:ilvl w:val="0"/>
          <w:numId w:val="2"/>
        </w:numPr>
        <w:spacing w:after="0" w:line="276" w:lineRule="auto"/>
        <w:ind w:left="0" w:firstLine="709"/>
        <w:contextualSpacing/>
        <w:jc w:val="center"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  <w:lastRenderedPageBreak/>
        <w:t>Жилищное строительство и обеспечение граждан жильем</w:t>
      </w:r>
    </w:p>
    <w:p w:rsidR="00E2543E" w:rsidRPr="007A4C7A" w:rsidRDefault="00E2543E" w:rsidP="009B4C92">
      <w:pPr>
        <w:spacing w:after="0" w:line="276" w:lineRule="auto"/>
        <w:ind w:left="709"/>
        <w:contextualSpacing/>
        <w:rPr>
          <w:rFonts w:ascii="Bookman Old Style" w:eastAsia="Times New Roman" w:hAnsi="Bookman Old Style" w:cs="Times New Roman"/>
          <w:b/>
          <w:color w:val="171717" w:themeColor="background2" w:themeShade="1A"/>
          <w:sz w:val="28"/>
          <w:szCs w:val="28"/>
          <w:lang w:eastAsia="ru-RU"/>
        </w:rPr>
      </w:pPr>
    </w:p>
    <w:p w:rsidR="00E2543E" w:rsidRPr="007A4C7A" w:rsidRDefault="00E2543E" w:rsidP="009B4C92">
      <w:pPr>
        <w:spacing w:after="0" w:line="276" w:lineRule="auto"/>
        <w:ind w:firstLine="709"/>
        <w:jc w:val="both"/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Жилищный фонд Кочковского района представлен, в основном, одноэтажными индивидуальными домами с приусадебными участками. Лишь в </w:t>
      </w:r>
      <w:r w:rsidR="00EE5711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четы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рех поселениях имеются многоквартирные жилые дома этажностью более одного. </w:t>
      </w:r>
    </w:p>
    <w:p w:rsidR="003A1559" w:rsidRPr="007A4C7A" w:rsidRDefault="00E2543E" w:rsidP="009B4C92">
      <w:pPr>
        <w:spacing w:after="0" w:line="276" w:lineRule="auto"/>
        <w:ind w:firstLine="709"/>
        <w:jc w:val="both"/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За 20</w:t>
      </w:r>
      <w:r w:rsidR="00D412B7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20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год в эксплуатацию введено </w:t>
      </w:r>
      <w:r w:rsidR="00D412B7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334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квадратных метр</w:t>
      </w:r>
      <w:r w:rsidR="00D412B7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а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жилья. </w:t>
      </w:r>
    </w:p>
    <w:p w:rsidR="00E2543E" w:rsidRPr="007A4C7A" w:rsidRDefault="00257AA2" w:rsidP="009B4C92">
      <w:pPr>
        <w:spacing w:after="0" w:line="276" w:lineRule="auto"/>
        <w:ind w:firstLine="709"/>
        <w:jc w:val="both"/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</w:pP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В</w:t>
      </w:r>
      <w:r w:rsidR="00E2543E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рамках различных программ оказана финансовая поддержка 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для улучшения жилищных условий</w:t>
      </w:r>
      <w:r w:rsidR="005666BA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D412B7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3</w:t>
      </w:r>
      <w:r w:rsidR="005666BA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-х семей Кочковского района общей численностью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D412B7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13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5666BA"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человек</w:t>
      </w:r>
      <w:r w:rsidRPr="007A4C7A">
        <w:rPr>
          <w:rFonts w:ascii="Bookman Old Style" w:eastAsia="Times New Roman" w:hAnsi="Bookman Old Style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E2543E" w:rsidRPr="007A4C7A" w:rsidRDefault="00E2543E" w:rsidP="009B4C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B0A" w:rsidRPr="007A4C7A" w:rsidRDefault="00676B0A" w:rsidP="009B4C92">
      <w:pPr>
        <w:pStyle w:val="a8"/>
        <w:numPr>
          <w:ilvl w:val="0"/>
          <w:numId w:val="2"/>
        </w:numPr>
        <w:spacing w:line="276" w:lineRule="auto"/>
        <w:ind w:left="0" w:firstLine="709"/>
        <w:jc w:val="center"/>
        <w:rPr>
          <w:rFonts w:ascii="Bookman Old Style" w:hAnsi="Bookman Old Style"/>
          <w:b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b/>
          <w:color w:val="171717" w:themeColor="background2" w:themeShade="1A"/>
          <w:sz w:val="28"/>
          <w:szCs w:val="28"/>
        </w:rPr>
        <w:t>Жилищно-коммунальное хозяйство</w:t>
      </w:r>
    </w:p>
    <w:p w:rsidR="00676B0A" w:rsidRPr="007A4C7A" w:rsidRDefault="00676B0A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</w:p>
    <w:p w:rsidR="00676B0A" w:rsidRPr="007A4C7A" w:rsidRDefault="00676B0A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В 20</w:t>
      </w:r>
      <w:r w:rsidR="00F42192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20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году в рамках ремонта и модернизации объектов ЖКХ произведены мероприятия по различным направлениям.</w:t>
      </w:r>
    </w:p>
    <w:p w:rsidR="00F42192" w:rsidRPr="007A4C7A" w:rsidRDefault="00F42192" w:rsidP="00F42192">
      <w:pPr>
        <w:spacing w:after="0" w:line="276" w:lineRule="auto"/>
        <w:ind w:firstLine="709"/>
        <w:jc w:val="both"/>
        <w:rPr>
          <w:rFonts w:ascii="Bookman Old Style" w:hAnsi="Bookman Old Style" w:cs="Times New Roman"/>
          <w:bCs/>
          <w:iCs/>
          <w:sz w:val="28"/>
          <w:szCs w:val="28"/>
        </w:rPr>
      </w:pPr>
      <w:r w:rsidRPr="007A4C7A">
        <w:rPr>
          <w:rFonts w:ascii="Bookman Old Style" w:hAnsi="Bookman Old Style" w:cs="Times New Roman"/>
          <w:bCs/>
          <w:iCs/>
          <w:sz w:val="28"/>
          <w:szCs w:val="28"/>
        </w:rPr>
        <w:t>Произведено строительство водозаборной скважины с модульной станцией водоочистки в п. Троицкий. Завершены работы по реконструкции водопроводной сети по ул. Революционная, ул. Некрасова, ул. Садовая и ул. Кольцевая в селе Кочки. Для нужд УК ЖКХ приобретен автосамосвал. На подготовку объектов ЖКХ к отопительному сезону направлено более 5,5 млн. рублей.</w:t>
      </w:r>
    </w:p>
    <w:p w:rsidR="00E2543E" w:rsidRPr="007A4C7A" w:rsidRDefault="00E2543E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</w:p>
    <w:p w:rsidR="00522754" w:rsidRPr="007A4C7A" w:rsidRDefault="00522754" w:rsidP="009B4C92">
      <w:pPr>
        <w:pStyle w:val="a8"/>
        <w:numPr>
          <w:ilvl w:val="0"/>
          <w:numId w:val="2"/>
        </w:numPr>
        <w:spacing w:line="276" w:lineRule="auto"/>
        <w:ind w:left="0" w:firstLine="709"/>
        <w:jc w:val="center"/>
        <w:rPr>
          <w:rFonts w:ascii="Bookman Old Style" w:hAnsi="Bookman Old Style"/>
          <w:b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b/>
          <w:color w:val="171717" w:themeColor="background2" w:themeShade="1A"/>
          <w:sz w:val="28"/>
          <w:szCs w:val="28"/>
        </w:rPr>
        <w:t>Организация муниципального управления</w:t>
      </w:r>
    </w:p>
    <w:p w:rsidR="00522754" w:rsidRPr="007A4C7A" w:rsidRDefault="00522754" w:rsidP="009B4C92">
      <w:pPr>
        <w:pStyle w:val="a8"/>
        <w:spacing w:line="276" w:lineRule="auto"/>
        <w:ind w:left="709"/>
        <w:rPr>
          <w:rFonts w:ascii="Bookman Old Style" w:hAnsi="Bookman Old Style"/>
          <w:b/>
          <w:color w:val="171717" w:themeColor="background2" w:themeShade="1A"/>
          <w:sz w:val="28"/>
          <w:szCs w:val="28"/>
        </w:rPr>
      </w:pPr>
    </w:p>
    <w:p w:rsidR="00522754" w:rsidRPr="007A4C7A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Одним из важнейших направлений деятельности органов местного самоуправления является формирование финансово-экономической политики района.</w:t>
      </w:r>
    </w:p>
    <w:p w:rsidR="00F941B6" w:rsidRPr="007A4C7A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В состав консолидированного бюджета Кочковского района входят 10 бюджетов муниципальных поселений и бюджет муниципального района.</w:t>
      </w:r>
    </w:p>
    <w:p w:rsidR="00522754" w:rsidRPr="007A4C7A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Доход консолидированного бюджета в 20</w:t>
      </w:r>
      <w:r w:rsidR="001F7CB5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20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году составил </w:t>
      </w:r>
      <w:r w:rsidR="001F7CB5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668,4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рублей, или </w:t>
      </w:r>
      <w:r w:rsidR="001F7CB5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88,3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% к уровню 201</w:t>
      </w:r>
      <w:r w:rsidR="001F7CB5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9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года. Налоговых и неналоговых доходов в целом по району поступило </w:t>
      </w:r>
      <w:r w:rsidR="00E52701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в размере </w:t>
      </w:r>
      <w:r w:rsidR="001F7CB5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116,6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рублей.</w:t>
      </w:r>
    </w:p>
    <w:p w:rsidR="00522754" w:rsidRPr="007A4C7A" w:rsidRDefault="005F31FB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noProof/>
          <w:color w:val="171717" w:themeColor="background2" w:themeShade="1A"/>
          <w:sz w:val="24"/>
          <w:szCs w:val="24"/>
          <w:lang w:eastAsia="ru-RU"/>
        </w:rPr>
        <w:lastRenderedPageBreak/>
        <mc:AlternateContent>
          <mc:Choice Requires="wps">
            <w:drawing>
              <wp:anchor distT="91440" distB="91440" distL="228600" distR="91440" simplePos="0" relativeHeight="251663360" behindDoc="0" locked="0" layoutInCell="0" allowOverlap="1" wp14:anchorId="076AFA72" wp14:editId="2E1697AB">
                <wp:simplePos x="0" y="0"/>
                <wp:positionH relativeFrom="margin">
                  <wp:posOffset>3213321</wp:posOffset>
                </wp:positionH>
                <wp:positionV relativeFrom="margin">
                  <wp:posOffset>616088</wp:posOffset>
                </wp:positionV>
                <wp:extent cx="2844800" cy="1407160"/>
                <wp:effectExtent l="0" t="0" r="0" b="0"/>
                <wp:wrapSquare wrapText="bothSides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22754" w:rsidRPr="000C43D6" w:rsidRDefault="00522754" w:rsidP="00522754">
                            <w:pPr>
                              <w:pBdr>
                                <w:top w:val="single" w:sz="4" w:space="5" w:color="2E74B5" w:themeColor="accent5" w:themeShade="BF"/>
                                <w:left w:val="single" w:sz="4" w:space="8" w:color="2E74B5" w:themeColor="accent5" w:themeShade="BF"/>
                                <w:bottom w:val="single" w:sz="4" w:space="5" w:color="2E74B5" w:themeColor="accent5" w:themeShade="BF"/>
                                <w:right w:val="single" w:sz="4" w:space="8" w:color="2E74B5" w:themeColor="accent5" w:themeShade="BF"/>
                              </w:pBdr>
                              <w:shd w:val="clear" w:color="auto" w:fill="5B9BD5" w:themeFill="accent5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Доход консолидированного бюджета Кочковского района в 20</w:t>
                            </w:r>
                            <w:r w:rsidR="005F31FB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году составил </w:t>
                            </w:r>
                            <w:r w:rsidR="005F31FB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668,4</w:t>
                            </w: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млн.</w:t>
                            </w:r>
                            <w:r w:rsidR="00EE1B1C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3D6">
                              <w:rPr>
                                <w:rFonts w:ascii="Bookman Old Style" w:hAnsi="Bookman Old Style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рублей</w:t>
                            </w:r>
                          </w:p>
                          <w:p w:rsidR="00522754" w:rsidRDefault="00522754" w:rsidP="00522754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AFA72" id="Прямоугольник 11" o:spid="_x0000_s1027" style="position:absolute;left:0;text-align:left;margin-left:253pt;margin-top:48.5pt;width:224pt;height:110.8pt;z-index:25166336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IZbwIAAOwEAAAOAAAAZHJzL2Uyb0RvYy54bWysVM2O0zAQviPxDpbvNEmplhI1Xa26WoS0&#10;wIqFB3Adp4lIPGbsNi0nJK5IPAIPwQXxs8+QvhFjpy1bOC3iYsXj+Wa++WYmk9N1U7OVQluBzngy&#10;iDlTWkJe6UXGX7+6eDDmzDqhc1GDVhnfKMtPp/fvTVqTqiGUUOcKGQXRNm1NxkvnTBpFVpaqEXYA&#10;Rml6LAAb4eiKiyhH0VL0po6GcXwStYC5QZDKWrKe9498GuIXhZLuRVFY5VidceLmwonhnPszmk5E&#10;ukBhykruaIh/YNGISlPSQ6hz4QRbYvVXqKaSCBYKN5DQRFAUlVShBqomif+o5roURoVaSBxrDjLZ&#10;/xdWPl9dIaty6l3CmRYN9aj7vH2//dT96G62H7ov3U33ffux+9l97b4xciLFWmNTAl6bK/Q1W3MJ&#10;8o1lGmal0At1hghtqUROPIN/dATwF0tQNm+fQU75xNJBEG9dYOMDkixsHXq0OfRIrR2TZByOR6Nx&#10;TK2U9JaM4kfJSehiJNI93KB1TxQ0zH9kHGkIQnixurSO6JPr3sVn03BR1XUYhFofGcjRWwJ9z7iv&#10;3LpNrbxfrV+qgrQLVL3BSlzMZzWyfsBoA4jnfsxCMAJ4x4IS3hG7g3i0CnN9R/wBFPKDdgd8U2nA&#10;IFDYOuULWAnaFyGl0q7vIHHuMXs5ehF8L916vu4naD8bc8g31F+Eft3o90AfJeA7zlpatYzbt0uB&#10;irP6qaYZGSbxw2RIyxluj5PRiGTDo6f57SehJQXLuHTIWX+ZuV7ypcFqUVK2JBSk4Yxmq6hC1z3X&#10;ntmuBlqpMAy79fc7e/sevH7/pKa/AAAA//8DAFBLAwQUAAYACAAAACEAQo1uvuEAAAAKAQAADwAA&#10;AGRycy9kb3ducmV2LnhtbEyPQU/DMAyF70j8h8hI3Fg6uoWtNJ3G0ITEYRLbDhyz1jTVGqdq0q38&#10;e8wJTrb1np6/l69G14oL9qHxpGE6SUAglb5qqNZwPGwfFiBCNFSZ1hNq+MYAq+L2JjdZ5a/0gZd9&#10;rAWHUMiMBhtjl0kZSovOhInvkFj78r0zkc++llVvrhzuWvmYJEo60xB/sKbDjcXyvB+chs+XdIdr&#10;tz3btzC8KkrVbLN71/r+blw/g4g4xj8z/OIzOhTMdPIDVUG0GuaJ4i5Rw/KJJxuW8xkvJw3pdKFA&#10;Frn8X6H4AQAA//8DAFBLAQItABQABgAIAAAAIQC2gziS/gAAAOEBAAATAAAAAAAAAAAAAAAAAAAA&#10;AABbQ29udGVudF9UeXBlc10ueG1sUEsBAi0AFAAGAAgAAAAhADj9If/WAAAAlAEAAAsAAAAAAAAA&#10;AAAAAAAALwEAAF9yZWxzLy5yZWxzUEsBAi0AFAAGAAgAAAAhAH8SUhlvAgAA7AQAAA4AAAAAAAAA&#10;AAAAAAAALgIAAGRycy9lMm9Eb2MueG1sUEsBAi0AFAAGAAgAAAAhAEKNbr7hAAAACgEAAA8AAAAA&#10;AAAAAAAAAAAAyQQAAGRycy9kb3ducmV2LnhtbFBLBQYAAAAABAAEAPMAAADXBQAAAAA=&#10;" o:allowincell="f" filled="f" stroked="f">
                <v:textbox inset="16.56pt,7.2pt,16.56pt,7.2pt">
                  <w:txbxContent>
                    <w:p w:rsidR="00522754" w:rsidRPr="000C43D6" w:rsidRDefault="00522754" w:rsidP="00522754">
                      <w:pPr>
                        <w:pBdr>
                          <w:top w:val="single" w:sz="4" w:space="5" w:color="2E74B5" w:themeColor="accent5" w:themeShade="BF"/>
                          <w:left w:val="single" w:sz="4" w:space="8" w:color="2E74B5" w:themeColor="accent5" w:themeShade="BF"/>
                          <w:bottom w:val="single" w:sz="4" w:space="5" w:color="2E74B5" w:themeColor="accent5" w:themeShade="BF"/>
                          <w:right w:val="single" w:sz="4" w:space="8" w:color="2E74B5" w:themeColor="accent5" w:themeShade="BF"/>
                        </w:pBdr>
                        <w:shd w:val="clear" w:color="auto" w:fill="5B9BD5" w:themeFill="accent5"/>
                        <w:jc w:val="both"/>
                        <w:rPr>
                          <w:rFonts w:ascii="Bookman Old Style" w:hAnsi="Bookman Old Style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Доход консолидированного бюджета Кочковского района в 20</w:t>
                      </w:r>
                      <w:r w:rsidR="005F31FB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году составил </w:t>
                      </w:r>
                      <w:r w:rsidR="005F31FB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668,4</w:t>
                      </w: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млн.</w:t>
                      </w:r>
                      <w:r w:rsidR="00EE1B1C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C43D6">
                        <w:rPr>
                          <w:rFonts w:ascii="Bookman Old Style" w:hAnsi="Bookman Old Style"/>
                          <w:i/>
                          <w:color w:val="FFFFFF" w:themeColor="background1"/>
                          <w:sz w:val="28"/>
                          <w:szCs w:val="28"/>
                        </w:rPr>
                        <w:t>рублей</w:t>
                      </w:r>
                    </w:p>
                    <w:p w:rsidR="00522754" w:rsidRDefault="00522754" w:rsidP="00522754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22754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Расходная часть консолидированного бюджета района формир</w:t>
      </w:r>
      <w:r w:rsidR="00436A10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уется исходя из доходной части,</w:t>
      </w:r>
      <w:r w:rsidR="00522754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объемов поступлений из областного бюджета</w:t>
      </w:r>
      <w:r w:rsidR="00436A10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, а также из неизрасходованных средств предыдущего финансового года</w:t>
      </w:r>
      <w:r w:rsidR="00522754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.</w:t>
      </w:r>
    </w:p>
    <w:p w:rsidR="00522754" w:rsidRPr="007A4C7A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Из общей суммы расходной части консолидированного бюджета (</w:t>
      </w:r>
      <w:r w:rsidR="00436A10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720,2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рублей) израсходовано на образование </w:t>
      </w:r>
      <w:r w:rsidR="00436A10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307,5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рублей, на ЖКХ </w:t>
      </w:r>
      <w:r w:rsidR="00436A10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83,2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рублей, </w:t>
      </w:r>
      <w:r w:rsidR="00436A10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71,2</w:t>
      </w:r>
      <w:r w:rsidR="000C43D6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млн. рублей на культуру и пр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. </w:t>
      </w:r>
    </w:p>
    <w:p w:rsidR="000C43D6" w:rsidRPr="007A4C7A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Экономическая ситуация отразилась и на наполняемости муниципальных бюджетов. Остались актуальными задержки по платежам в бюджеты всех уровней хозяйствующими субъектами. Для своевременного решения этой проблемы в ушедшем году была активизирована работа комиссии по взысканию недоимки. Проведено </w:t>
      </w:r>
      <w:r w:rsidR="002A6D29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4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заседани</w:t>
      </w:r>
      <w:r w:rsidR="00EE1B1C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я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, на котор</w:t>
      </w:r>
      <w:r w:rsidR="00EE1B1C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ом</w:t>
      </w:r>
      <w:r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 </w:t>
      </w:r>
      <w:r w:rsidR="00DC303C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 xml:space="preserve">было заслушано </w:t>
      </w:r>
      <w:r w:rsidR="002A6D29" w:rsidRPr="007A4C7A">
        <w:rPr>
          <w:rFonts w:ascii="Bookman Old Style" w:hAnsi="Bookman Old Style"/>
          <w:color w:val="171717" w:themeColor="background2" w:themeShade="1A"/>
          <w:sz w:val="28"/>
          <w:szCs w:val="28"/>
        </w:rPr>
        <w:t>44</w:t>
      </w:r>
      <w:r w:rsidR="000C43D6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налоговы</w:t>
      </w:r>
      <w:r w:rsidR="00F71372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х</w:t>
      </w:r>
      <w:r w:rsidR="000C43D6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агент</w:t>
      </w:r>
      <w:r w:rsidR="00F71372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ов</w:t>
      </w:r>
      <w:r w:rsidR="00DC303C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, в результате чего размер урегулированной задолженности составил</w:t>
      </w:r>
      <w:r w:rsidR="000C43D6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</w:t>
      </w:r>
      <w:r w:rsidR="002A6D29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37,9</w:t>
      </w:r>
      <w:r w:rsidR="00DC303C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 xml:space="preserve"> тыс. рубле</w:t>
      </w:r>
      <w:bookmarkStart w:id="2" w:name="_GoBack"/>
      <w:bookmarkEnd w:id="2"/>
      <w:r w:rsidR="00DC303C" w:rsidRPr="007A4C7A"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  <w:t>й.</w:t>
      </w:r>
    </w:p>
    <w:p w:rsidR="00522754" w:rsidRPr="007A4C7A" w:rsidRDefault="00522754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</w:p>
    <w:p w:rsidR="000C43D6" w:rsidRPr="007A4C7A" w:rsidRDefault="000C43D6" w:rsidP="009B4C92">
      <w:pPr>
        <w:spacing w:after="0" w:line="276" w:lineRule="auto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619"/>
      </w:tblGrid>
      <w:tr w:rsidR="00136B4E" w:rsidRPr="00136B4E" w:rsidTr="00136B4E">
        <w:tc>
          <w:tcPr>
            <w:tcW w:w="4981" w:type="dxa"/>
            <w:hideMark/>
          </w:tcPr>
          <w:p w:rsidR="00136B4E" w:rsidRPr="007A4C7A" w:rsidRDefault="00136B4E" w:rsidP="009B4C92">
            <w:pPr>
              <w:spacing w:line="276" w:lineRule="auto"/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</w:pPr>
            <w:r w:rsidRPr="007A4C7A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981" w:type="dxa"/>
          </w:tcPr>
          <w:p w:rsidR="00136B4E" w:rsidRPr="007A4C7A" w:rsidRDefault="00136B4E" w:rsidP="009B4C92">
            <w:pPr>
              <w:spacing w:line="276" w:lineRule="auto"/>
              <w:jc w:val="right"/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</w:pPr>
          </w:p>
          <w:p w:rsidR="00136B4E" w:rsidRPr="00136B4E" w:rsidRDefault="00136B4E" w:rsidP="009B4C92">
            <w:pPr>
              <w:spacing w:line="276" w:lineRule="auto"/>
              <w:jc w:val="right"/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</w:pPr>
            <w:r w:rsidRPr="007A4C7A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>П.А.</w:t>
            </w:r>
            <w:r w:rsidR="00A10762" w:rsidRPr="007A4C7A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7A4C7A">
              <w:rPr>
                <w:rFonts w:ascii="Bookman Old Style" w:hAnsi="Bookman Old Style" w:cs="Times New Roman"/>
                <w:color w:val="171717" w:themeColor="background2" w:themeShade="1A"/>
                <w:sz w:val="28"/>
                <w:szCs w:val="28"/>
              </w:rPr>
              <w:t>Шилин</w:t>
            </w:r>
          </w:p>
        </w:tc>
      </w:tr>
    </w:tbl>
    <w:p w:rsidR="00136B4E" w:rsidRDefault="00136B4E" w:rsidP="009B4C92">
      <w:pPr>
        <w:spacing w:after="0" w:line="276" w:lineRule="auto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</w:p>
    <w:p w:rsidR="000C43D6" w:rsidRPr="00522754" w:rsidRDefault="000C43D6" w:rsidP="009B4C92">
      <w:pPr>
        <w:spacing w:after="0" w:line="276" w:lineRule="auto"/>
        <w:ind w:firstLine="709"/>
        <w:jc w:val="both"/>
        <w:rPr>
          <w:rFonts w:ascii="Bookman Old Style" w:hAnsi="Bookman Old Style" w:cs="Times New Roman"/>
          <w:color w:val="171717" w:themeColor="background2" w:themeShade="1A"/>
          <w:sz w:val="28"/>
          <w:szCs w:val="28"/>
        </w:rPr>
      </w:pPr>
    </w:p>
    <w:sectPr w:rsidR="000C43D6" w:rsidRPr="00522754" w:rsidSect="00E57B43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42" w:rsidRDefault="00540242" w:rsidP="00831140">
      <w:pPr>
        <w:spacing w:after="0" w:line="240" w:lineRule="auto"/>
      </w:pPr>
      <w:r>
        <w:separator/>
      </w:r>
    </w:p>
  </w:endnote>
  <w:endnote w:type="continuationSeparator" w:id="0">
    <w:p w:rsidR="00540242" w:rsidRDefault="00540242" w:rsidP="008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58833"/>
      <w:docPartObj>
        <w:docPartGallery w:val="Page Numbers (Bottom of Page)"/>
        <w:docPartUnique/>
      </w:docPartObj>
    </w:sdtPr>
    <w:sdtEndPr/>
    <w:sdtContent>
      <w:p w:rsidR="00E57B43" w:rsidRDefault="00E57B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7A">
          <w:rPr>
            <w:noProof/>
          </w:rPr>
          <w:t>2</w:t>
        </w:r>
        <w:r>
          <w:fldChar w:fldCharType="end"/>
        </w:r>
      </w:p>
    </w:sdtContent>
  </w:sdt>
  <w:p w:rsidR="00E57B43" w:rsidRDefault="00E57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42" w:rsidRDefault="00540242" w:rsidP="00831140">
      <w:pPr>
        <w:spacing w:after="0" w:line="240" w:lineRule="auto"/>
      </w:pPr>
      <w:r>
        <w:separator/>
      </w:r>
    </w:p>
  </w:footnote>
  <w:footnote w:type="continuationSeparator" w:id="0">
    <w:p w:rsidR="00540242" w:rsidRDefault="00540242" w:rsidP="0083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40" w:rsidRDefault="00831140" w:rsidP="00831140">
    <w:pPr>
      <w:pStyle w:val="a3"/>
      <w:jc w:val="right"/>
    </w:pPr>
    <w:r>
      <w:rPr>
        <w:noProof/>
        <w:lang w:eastAsia="ru-RU"/>
      </w:rPr>
      <w:drawing>
        <wp:inline distT="0" distB="0" distL="0" distR="0" wp14:anchorId="2A2D0EFB" wp14:editId="1DA47CC4">
          <wp:extent cx="312774" cy="374238"/>
          <wp:effectExtent l="38100" t="0" r="11076" b="102012"/>
          <wp:docPr id="17" name="Рисунок 17" descr="C:\Users\Евгений Юрьевич\Desktop\Gerb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Евгений Юрьевич\Desktop\Gerb[2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36" cy="37395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F45"/>
    <w:multiLevelType w:val="hybridMultilevel"/>
    <w:tmpl w:val="B93267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43D0"/>
    <w:multiLevelType w:val="hybridMultilevel"/>
    <w:tmpl w:val="CF98AC6A"/>
    <w:lvl w:ilvl="0" w:tplc="ECF63C12">
      <w:start w:val="1"/>
      <w:numFmt w:val="upperRoman"/>
      <w:lvlText w:val="%1."/>
      <w:lvlJc w:val="left"/>
      <w:pPr>
        <w:ind w:left="1080" w:hanging="720"/>
      </w:pPr>
      <w:rPr>
        <w:b/>
        <w:color w:val="222A35" w:themeColor="text2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F5E78"/>
    <w:multiLevelType w:val="hybridMultilevel"/>
    <w:tmpl w:val="BE485CA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0A"/>
    <w:rsid w:val="00006A57"/>
    <w:rsid w:val="00011D73"/>
    <w:rsid w:val="00020A63"/>
    <w:rsid w:val="00024A4D"/>
    <w:rsid w:val="00041665"/>
    <w:rsid w:val="000522CC"/>
    <w:rsid w:val="00075492"/>
    <w:rsid w:val="00095DA7"/>
    <w:rsid w:val="000A769A"/>
    <w:rsid w:val="000C43D6"/>
    <w:rsid w:val="000D1D5A"/>
    <w:rsid w:val="000E0563"/>
    <w:rsid w:val="00115B12"/>
    <w:rsid w:val="00116BDF"/>
    <w:rsid w:val="00134F95"/>
    <w:rsid w:val="00136B4E"/>
    <w:rsid w:val="00153B4F"/>
    <w:rsid w:val="001548D6"/>
    <w:rsid w:val="001611CE"/>
    <w:rsid w:val="0016382A"/>
    <w:rsid w:val="001A6EBB"/>
    <w:rsid w:val="001C08A1"/>
    <w:rsid w:val="001C1D0A"/>
    <w:rsid w:val="001C28A6"/>
    <w:rsid w:val="001C351F"/>
    <w:rsid w:val="001C575A"/>
    <w:rsid w:val="001F21AD"/>
    <w:rsid w:val="001F3474"/>
    <w:rsid w:val="001F7CB5"/>
    <w:rsid w:val="002055F2"/>
    <w:rsid w:val="00233DF6"/>
    <w:rsid w:val="0023724B"/>
    <w:rsid w:val="00243ADD"/>
    <w:rsid w:val="00251337"/>
    <w:rsid w:val="002526E1"/>
    <w:rsid w:val="00252851"/>
    <w:rsid w:val="00252E78"/>
    <w:rsid w:val="00257AA2"/>
    <w:rsid w:val="00262EA3"/>
    <w:rsid w:val="00277F07"/>
    <w:rsid w:val="0028029A"/>
    <w:rsid w:val="0029734F"/>
    <w:rsid w:val="002A2715"/>
    <w:rsid w:val="002A6D29"/>
    <w:rsid w:val="002B255F"/>
    <w:rsid w:val="002C2155"/>
    <w:rsid w:val="002C5556"/>
    <w:rsid w:val="002E554E"/>
    <w:rsid w:val="003332C9"/>
    <w:rsid w:val="0034641A"/>
    <w:rsid w:val="00362DD1"/>
    <w:rsid w:val="0036661A"/>
    <w:rsid w:val="00381FA0"/>
    <w:rsid w:val="003A1559"/>
    <w:rsid w:val="003A2203"/>
    <w:rsid w:val="003A7026"/>
    <w:rsid w:val="003B0112"/>
    <w:rsid w:val="003C084F"/>
    <w:rsid w:val="003C1E4C"/>
    <w:rsid w:val="003E10F7"/>
    <w:rsid w:val="003F1540"/>
    <w:rsid w:val="003F2139"/>
    <w:rsid w:val="00417E23"/>
    <w:rsid w:val="00436A10"/>
    <w:rsid w:val="004377CA"/>
    <w:rsid w:val="00442E9A"/>
    <w:rsid w:val="00445E58"/>
    <w:rsid w:val="0045512B"/>
    <w:rsid w:val="00457D95"/>
    <w:rsid w:val="00480A53"/>
    <w:rsid w:val="00492B96"/>
    <w:rsid w:val="00495768"/>
    <w:rsid w:val="004D550E"/>
    <w:rsid w:val="004F4E6E"/>
    <w:rsid w:val="00522754"/>
    <w:rsid w:val="00522E45"/>
    <w:rsid w:val="00522F85"/>
    <w:rsid w:val="00540242"/>
    <w:rsid w:val="005524D3"/>
    <w:rsid w:val="00554C3F"/>
    <w:rsid w:val="005666BA"/>
    <w:rsid w:val="00566980"/>
    <w:rsid w:val="005825EB"/>
    <w:rsid w:val="005839E5"/>
    <w:rsid w:val="0059082C"/>
    <w:rsid w:val="005E1CFE"/>
    <w:rsid w:val="005E42FB"/>
    <w:rsid w:val="005F0768"/>
    <w:rsid w:val="005F1045"/>
    <w:rsid w:val="005F31FB"/>
    <w:rsid w:val="005F6A61"/>
    <w:rsid w:val="005F7010"/>
    <w:rsid w:val="00632670"/>
    <w:rsid w:val="0065300C"/>
    <w:rsid w:val="00666255"/>
    <w:rsid w:val="00675BF0"/>
    <w:rsid w:val="00676B0A"/>
    <w:rsid w:val="00685940"/>
    <w:rsid w:val="00696F55"/>
    <w:rsid w:val="006A19B2"/>
    <w:rsid w:val="006D43BD"/>
    <w:rsid w:val="006D60AC"/>
    <w:rsid w:val="006D6C46"/>
    <w:rsid w:val="007002C5"/>
    <w:rsid w:val="00714B3E"/>
    <w:rsid w:val="00720CF4"/>
    <w:rsid w:val="00734B85"/>
    <w:rsid w:val="00736111"/>
    <w:rsid w:val="00736765"/>
    <w:rsid w:val="0074039D"/>
    <w:rsid w:val="00746F9B"/>
    <w:rsid w:val="0075294B"/>
    <w:rsid w:val="00773F6D"/>
    <w:rsid w:val="00786CC8"/>
    <w:rsid w:val="0079215F"/>
    <w:rsid w:val="00793ED9"/>
    <w:rsid w:val="007A4BFE"/>
    <w:rsid w:val="007A4C7A"/>
    <w:rsid w:val="007A50F0"/>
    <w:rsid w:val="007C1FCF"/>
    <w:rsid w:val="007D41D7"/>
    <w:rsid w:val="008057C4"/>
    <w:rsid w:val="00814E64"/>
    <w:rsid w:val="00831140"/>
    <w:rsid w:val="00843E9F"/>
    <w:rsid w:val="0086013D"/>
    <w:rsid w:val="008968AA"/>
    <w:rsid w:val="008A05B7"/>
    <w:rsid w:val="008B2169"/>
    <w:rsid w:val="008B3F2C"/>
    <w:rsid w:val="008D5825"/>
    <w:rsid w:val="008E701B"/>
    <w:rsid w:val="008F1F91"/>
    <w:rsid w:val="00912C08"/>
    <w:rsid w:val="00916E23"/>
    <w:rsid w:val="009242E7"/>
    <w:rsid w:val="00926F6A"/>
    <w:rsid w:val="00937153"/>
    <w:rsid w:val="009A20CB"/>
    <w:rsid w:val="009B0D20"/>
    <w:rsid w:val="009B2AE2"/>
    <w:rsid w:val="009B4C92"/>
    <w:rsid w:val="009B6A47"/>
    <w:rsid w:val="009C5907"/>
    <w:rsid w:val="009E3038"/>
    <w:rsid w:val="009E5ED3"/>
    <w:rsid w:val="009F32A6"/>
    <w:rsid w:val="009F405C"/>
    <w:rsid w:val="009F56CE"/>
    <w:rsid w:val="009F6E54"/>
    <w:rsid w:val="009F7311"/>
    <w:rsid w:val="00A05526"/>
    <w:rsid w:val="00A10762"/>
    <w:rsid w:val="00A11E05"/>
    <w:rsid w:val="00A23B37"/>
    <w:rsid w:val="00A31CE5"/>
    <w:rsid w:val="00A31D83"/>
    <w:rsid w:val="00A550E8"/>
    <w:rsid w:val="00A55918"/>
    <w:rsid w:val="00A72A7E"/>
    <w:rsid w:val="00A805E9"/>
    <w:rsid w:val="00A859D6"/>
    <w:rsid w:val="00A87234"/>
    <w:rsid w:val="00AB31ED"/>
    <w:rsid w:val="00AC242B"/>
    <w:rsid w:val="00AC4CC5"/>
    <w:rsid w:val="00AC74A2"/>
    <w:rsid w:val="00AD2CC2"/>
    <w:rsid w:val="00AE5E41"/>
    <w:rsid w:val="00AF5DDF"/>
    <w:rsid w:val="00B20575"/>
    <w:rsid w:val="00B2351E"/>
    <w:rsid w:val="00B24E81"/>
    <w:rsid w:val="00B34CB3"/>
    <w:rsid w:val="00B40E7D"/>
    <w:rsid w:val="00B55525"/>
    <w:rsid w:val="00B717EE"/>
    <w:rsid w:val="00B82686"/>
    <w:rsid w:val="00B941C8"/>
    <w:rsid w:val="00BA1D71"/>
    <w:rsid w:val="00BE06B9"/>
    <w:rsid w:val="00BF3473"/>
    <w:rsid w:val="00C079C7"/>
    <w:rsid w:val="00C07B9D"/>
    <w:rsid w:val="00C55B33"/>
    <w:rsid w:val="00C563F9"/>
    <w:rsid w:val="00C571BD"/>
    <w:rsid w:val="00C64135"/>
    <w:rsid w:val="00C828E9"/>
    <w:rsid w:val="00C845A5"/>
    <w:rsid w:val="00CA27F1"/>
    <w:rsid w:val="00CA41C9"/>
    <w:rsid w:val="00CA766D"/>
    <w:rsid w:val="00CB1F33"/>
    <w:rsid w:val="00CB7413"/>
    <w:rsid w:val="00CC772F"/>
    <w:rsid w:val="00CD4D3F"/>
    <w:rsid w:val="00CD77F3"/>
    <w:rsid w:val="00CE4555"/>
    <w:rsid w:val="00CE7815"/>
    <w:rsid w:val="00CF4D08"/>
    <w:rsid w:val="00D10CB1"/>
    <w:rsid w:val="00D412B7"/>
    <w:rsid w:val="00D63ABD"/>
    <w:rsid w:val="00D67CE6"/>
    <w:rsid w:val="00D70FC2"/>
    <w:rsid w:val="00D74BBB"/>
    <w:rsid w:val="00D81673"/>
    <w:rsid w:val="00D9438B"/>
    <w:rsid w:val="00D975F4"/>
    <w:rsid w:val="00DA6200"/>
    <w:rsid w:val="00DA770A"/>
    <w:rsid w:val="00DA7BB6"/>
    <w:rsid w:val="00DB79F1"/>
    <w:rsid w:val="00DC303C"/>
    <w:rsid w:val="00DD7F48"/>
    <w:rsid w:val="00E2543E"/>
    <w:rsid w:val="00E32C0A"/>
    <w:rsid w:val="00E406C7"/>
    <w:rsid w:val="00E46489"/>
    <w:rsid w:val="00E52701"/>
    <w:rsid w:val="00E57B43"/>
    <w:rsid w:val="00E662D8"/>
    <w:rsid w:val="00E73857"/>
    <w:rsid w:val="00E821EA"/>
    <w:rsid w:val="00EA59A3"/>
    <w:rsid w:val="00EB0536"/>
    <w:rsid w:val="00EB73A7"/>
    <w:rsid w:val="00ED169D"/>
    <w:rsid w:val="00ED2C1C"/>
    <w:rsid w:val="00EE1B1C"/>
    <w:rsid w:val="00EE5711"/>
    <w:rsid w:val="00EE779C"/>
    <w:rsid w:val="00EF251C"/>
    <w:rsid w:val="00EF5538"/>
    <w:rsid w:val="00EF7A02"/>
    <w:rsid w:val="00F010CD"/>
    <w:rsid w:val="00F02432"/>
    <w:rsid w:val="00F21B16"/>
    <w:rsid w:val="00F235FC"/>
    <w:rsid w:val="00F42192"/>
    <w:rsid w:val="00F573B3"/>
    <w:rsid w:val="00F6679D"/>
    <w:rsid w:val="00F71372"/>
    <w:rsid w:val="00F71990"/>
    <w:rsid w:val="00F73643"/>
    <w:rsid w:val="00F8186D"/>
    <w:rsid w:val="00F941B6"/>
    <w:rsid w:val="00FC00F0"/>
    <w:rsid w:val="00FC0C01"/>
    <w:rsid w:val="00FD242D"/>
    <w:rsid w:val="00FE7EB6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59FE"/>
  <w15:chartTrackingRefBased/>
  <w15:docId w15:val="{2E423368-86C8-4C30-9210-1566A8A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40"/>
  </w:style>
  <w:style w:type="paragraph" w:styleId="a5">
    <w:name w:val="footer"/>
    <w:basedOn w:val="a"/>
    <w:link w:val="a6"/>
    <w:uiPriority w:val="99"/>
    <w:unhideWhenUsed/>
    <w:rsid w:val="0083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40"/>
  </w:style>
  <w:style w:type="table" w:styleId="a7">
    <w:name w:val="Table Grid"/>
    <w:basedOn w:val="a1"/>
    <w:uiPriority w:val="59"/>
    <w:rsid w:val="00831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25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Основные показатели с/х производства,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Производство с/х продукции</c:v>
                </c:pt>
                <c:pt idx="1">
                  <c:v>Производство зеновых</c:v>
                </c:pt>
                <c:pt idx="2">
                  <c:v>Урожайность</c:v>
                </c:pt>
                <c:pt idx="3">
                  <c:v>Молоко</c:v>
                </c:pt>
                <c:pt idx="4">
                  <c:v>Мясо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95-40C4-B6D1-777E9404D3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Производство с/х продукции</c:v>
                </c:pt>
                <c:pt idx="1">
                  <c:v>Производство зеновых</c:v>
                </c:pt>
                <c:pt idx="2">
                  <c:v>Урожайность</c:v>
                </c:pt>
                <c:pt idx="3">
                  <c:v>Молоко</c:v>
                </c:pt>
                <c:pt idx="4">
                  <c:v>Мясо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128.69999999999999</c:v>
                </c:pt>
                <c:pt idx="1">
                  <c:v>111.9</c:v>
                </c:pt>
                <c:pt idx="2">
                  <c:v>95.7</c:v>
                </c:pt>
                <c:pt idx="3">
                  <c:v>95.7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95-40C4-B6D1-777E9404D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3903240"/>
        <c:axId val="313905208"/>
        <c:axId val="0"/>
      </c:bar3DChart>
      <c:catAx>
        <c:axId val="313903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313905208"/>
        <c:crosses val="autoZero"/>
        <c:auto val="1"/>
        <c:lblAlgn val="ctr"/>
        <c:lblOffset val="100"/>
        <c:noMultiLvlLbl val="0"/>
      </c:catAx>
      <c:valAx>
        <c:axId val="3139052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313903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i="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Промышленное производство, млн.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20-4462-82E3-34AC65A8453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20-4462-82E3-34AC65A8453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20-4462-82E3-34AC65A8453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20-4462-82E3-34AC65A8453E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420-4462-82E3-34AC65A8453E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43-46FB-816F-1467B867B9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Хлебокомбинат Кочковского сельпо</c:v>
                </c:pt>
                <c:pt idx="1">
                  <c:v>Цех полуфабрикатов Кочковского сельпо</c:v>
                </c:pt>
                <c:pt idx="2">
                  <c:v>Пекарня ОАО "Решетовское"</c:v>
                </c:pt>
                <c:pt idx="3">
                  <c:v>Кочковский мясокомбинат</c:v>
                </c:pt>
                <c:pt idx="4">
                  <c:v>Лесхоз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7.6</c:v>
                </c:pt>
                <c:pt idx="1">
                  <c:v>1.79</c:v>
                </c:pt>
                <c:pt idx="2">
                  <c:v>0.77</c:v>
                </c:pt>
                <c:pt idx="3">
                  <c:v>18.97</c:v>
                </c:pt>
                <c:pt idx="4">
                  <c:v>1</c:v>
                </c:pt>
                <c:pt idx="5">
                  <c:v>1.1200000000000001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420-4462-82E3-34AC65A845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i="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Объем транспортных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Пассажирские перевозки, тыс.человек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189.1</c:v>
                </c:pt>
                <c:pt idx="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66-47BA-85E5-B74E06C17D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Грузовые перевозки, тыс. тонн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208</c:v>
                </c:pt>
                <c:pt idx="1">
                  <c:v>219.9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66-47BA-85E5-B74E06C17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1339944"/>
        <c:axId val="481339616"/>
        <c:axId val="308499992"/>
      </c:bar3DChart>
      <c:catAx>
        <c:axId val="48133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481339616"/>
        <c:crosses val="autoZero"/>
        <c:auto val="1"/>
        <c:lblAlgn val="ctr"/>
        <c:lblOffset val="100"/>
        <c:noMultiLvlLbl val="0"/>
      </c:catAx>
      <c:valAx>
        <c:axId val="48133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481339944"/>
        <c:crosses val="autoZero"/>
        <c:crossBetween val="between"/>
      </c:valAx>
      <c:serAx>
        <c:axId val="308499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ru-RU"/>
          </a:p>
        </c:txPr>
        <c:crossAx val="4813396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i="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19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225</cp:revision>
  <cp:lastPrinted>2019-04-30T03:09:00Z</cp:lastPrinted>
  <dcterms:created xsi:type="dcterms:W3CDTF">2017-04-18T09:45:00Z</dcterms:created>
  <dcterms:modified xsi:type="dcterms:W3CDTF">2021-04-28T04:46:00Z</dcterms:modified>
</cp:coreProperties>
</file>