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52EDE" w:rsidRPr="006531B3" w:rsidRDefault="00452EDE" w:rsidP="00452EDE">
      <w:pPr>
        <w:pStyle w:val="1"/>
        <w:keepNext w:val="0"/>
        <w:autoSpaceDE/>
        <w:autoSpaceDN w:val="0"/>
        <w:rPr>
          <w:color w:val="00000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C143C3" w:rsidRPr="00C143C3" w:rsidTr="005D484F">
        <w:tc>
          <w:tcPr>
            <w:tcW w:w="3249" w:type="dxa"/>
            <w:hideMark/>
          </w:tcPr>
          <w:p w:rsidR="00452EDE" w:rsidRPr="00C143C3" w:rsidRDefault="00A15247" w:rsidP="00A152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43C3">
              <w:rPr>
                <w:rFonts w:ascii="Times New Roman" w:hAnsi="Times New Roman"/>
                <w:b/>
                <w:sz w:val="28"/>
                <w:szCs w:val="28"/>
              </w:rPr>
              <w:t>«20</w:t>
            </w:r>
            <w:r w:rsidR="00452EDE" w:rsidRPr="00C143C3">
              <w:rPr>
                <w:rFonts w:ascii="Times New Roman" w:hAnsi="Times New Roman"/>
                <w:b/>
                <w:sz w:val="28"/>
                <w:szCs w:val="28"/>
              </w:rPr>
              <w:t>» июня 2024 года</w:t>
            </w:r>
          </w:p>
        </w:tc>
        <w:tc>
          <w:tcPr>
            <w:tcW w:w="3107" w:type="dxa"/>
          </w:tcPr>
          <w:p w:rsidR="00452EDE" w:rsidRPr="00C143C3" w:rsidRDefault="00452EDE" w:rsidP="005D48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452EDE" w:rsidRPr="00C143C3" w:rsidRDefault="00452EDE" w:rsidP="00C143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3C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C143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C143C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143C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1341AB">
              <w:rPr>
                <w:rFonts w:ascii="Times New Roman" w:hAnsi="Times New Roman"/>
                <w:b/>
                <w:sz w:val="28"/>
                <w:szCs w:val="28"/>
              </w:rPr>
              <w:t>234</w:t>
            </w:r>
            <w:bookmarkStart w:id="0" w:name="_GoBack"/>
            <w:bookmarkEnd w:id="0"/>
          </w:p>
        </w:tc>
      </w:tr>
    </w:tbl>
    <w:p w:rsidR="00452EDE" w:rsidRPr="00216691" w:rsidRDefault="00452EDE" w:rsidP="00452E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2EDE" w:rsidRDefault="00452EDE" w:rsidP="00452E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31B3">
        <w:rPr>
          <w:rFonts w:ascii="Times New Roman" w:hAnsi="Times New Roman"/>
          <w:color w:val="000000"/>
          <w:sz w:val="28"/>
          <w:szCs w:val="28"/>
        </w:rPr>
        <w:t>с. Кочки</w:t>
      </w:r>
    </w:p>
    <w:p w:rsidR="000E185B" w:rsidRPr="006531B3" w:rsidRDefault="000E185B" w:rsidP="00452E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2FE3" w:rsidRPr="00966BB3" w:rsidRDefault="00CA2FE3" w:rsidP="00CA2F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2A0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Об установлении продолжительности времени для бесплатного предоставления помещения для проведения публичных агитационных мероприятий зарегистрированному кандидату, доверенному лицу кандидата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</w:t>
      </w:r>
      <w:r w:rsidRPr="007972A0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дополнительных </w:t>
      </w:r>
      <w:r w:rsidRPr="007972A0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выборах депутат</w:t>
      </w:r>
      <w:r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а</w:t>
      </w:r>
      <w:r w:rsidRPr="007972A0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Совета депутатов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Кочковского района Новосибирской области четвертого созыва по одномандатному избирательному округу № 13</w:t>
      </w:r>
    </w:p>
    <w:p w:rsidR="00CA2FE3" w:rsidRPr="00CE5235" w:rsidRDefault="00CA2FE3" w:rsidP="00CA2F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FE3" w:rsidRPr="00A30F63" w:rsidRDefault="00CA2FE3" w:rsidP="00CA2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</w:t>
      </w:r>
      <w:r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возложены на территориальную избирательную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</w:t>
      </w:r>
      <w:r w:rsidRPr="00A30F63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CA2FE3" w:rsidRPr="00A30F63" w:rsidRDefault="00CA2FE3" w:rsidP="00CA2FE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1B620A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B620A">
        <w:rPr>
          <w:rFonts w:ascii="Times New Roman" w:eastAsia="Times New Roman" w:hAnsi="Times New Roman"/>
          <w:sz w:val="28"/>
          <w:szCs w:val="28"/>
          <w:lang w:eastAsia="ru-RU"/>
        </w:rPr>
        <w:t xml:space="preserve"> 3 статьи 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6BB3">
        <w:rPr>
          <w:rFonts w:ascii="Times New Roman" w:eastAsia="Times New Roman" w:hAnsi="Times New Roman"/>
          <w:sz w:val="28"/>
          <w:szCs w:val="28"/>
          <w:lang w:eastAsia="ru-RU"/>
        </w:rPr>
        <w:t>Закона Новосибирской области «О выборах депутатов представительных органов муниципальных образований</w:t>
      </w:r>
      <w:r w:rsidRPr="00966B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Pr="00966BB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области», </w:t>
      </w:r>
      <w:r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Кочковского </w:t>
      </w:r>
      <w:r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Новосибирской области</w:t>
      </w:r>
    </w:p>
    <w:p w:rsidR="00CA2FE3" w:rsidRPr="00A30F63" w:rsidRDefault="00CA2FE3" w:rsidP="00CA2FE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CA2FE3" w:rsidRPr="00A7634A" w:rsidRDefault="00CA2FE3" w:rsidP="00CA2F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4A">
        <w:rPr>
          <w:rFonts w:ascii="Times New Roman" w:hAnsi="Times New Roman"/>
          <w:sz w:val="28"/>
          <w:szCs w:val="28"/>
        </w:rPr>
        <w:t>1. </w:t>
      </w:r>
      <w:proofErr w:type="gramStart"/>
      <w:r w:rsidRPr="007972A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время,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 зарегистрированному кандидату, доверенному лицу кандидата, для встреч с избирателями в период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7972A0">
        <w:rPr>
          <w:rFonts w:ascii="Times New Roman" w:eastAsia="Times New Roman" w:hAnsi="Times New Roman"/>
          <w:sz w:val="28"/>
          <w:szCs w:val="28"/>
          <w:lang w:eastAsia="ru-RU"/>
        </w:rPr>
        <w:t>выборов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72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Кочковского района Новосибирской области четвертого</w:t>
      </w:r>
      <w:r w:rsidRPr="00781B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</w:t>
      </w:r>
      <w:r w:rsidRPr="00D40D9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40D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одномандатному избирательному округу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продолжительностью </w:t>
      </w:r>
      <w:r w:rsidRPr="009B68E8">
        <w:rPr>
          <w:rFonts w:ascii="Times New Roman" w:hAnsi="Times New Roman"/>
          <w:sz w:val="28"/>
          <w:szCs w:val="28"/>
        </w:rPr>
        <w:t>1 час 30 минут</w:t>
      </w:r>
      <w:r w:rsidRPr="00A7634A">
        <w:rPr>
          <w:rFonts w:ascii="Times New Roman" w:hAnsi="Times New Roman"/>
          <w:sz w:val="28"/>
          <w:szCs w:val="28"/>
        </w:rPr>
        <w:t>.</w:t>
      </w:r>
      <w:proofErr w:type="gramEnd"/>
    </w:p>
    <w:p w:rsidR="00CA2FE3" w:rsidRDefault="00CA2FE3" w:rsidP="00CA2F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8E8">
        <w:rPr>
          <w:rFonts w:ascii="Times New Roman" w:hAnsi="Times New Roman"/>
          <w:sz w:val="28"/>
          <w:szCs w:val="28"/>
        </w:rPr>
        <w:t>2. Довести настоящее решение до собственников, владельцев помещений, пригодных для проведе</w:t>
      </w:r>
      <w:r>
        <w:rPr>
          <w:rFonts w:ascii="Times New Roman" w:hAnsi="Times New Roman"/>
          <w:sz w:val="28"/>
          <w:szCs w:val="28"/>
        </w:rPr>
        <w:t>ния вышеназванных мероприятий.</w:t>
      </w:r>
    </w:p>
    <w:p w:rsidR="00CA2FE3" w:rsidRDefault="00CA2FE3" w:rsidP="00CA2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информационно-телекоммуникационной сети «Интернет».</w:t>
      </w:r>
    </w:p>
    <w:p w:rsidR="000E185B" w:rsidRDefault="000E185B" w:rsidP="00CA2F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FE3" w:rsidRDefault="00CA2FE3" w:rsidP="00CA2F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FE3" w:rsidRDefault="00CA2FE3" w:rsidP="00CA2F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FE3" w:rsidRPr="00D15AA9" w:rsidRDefault="00CA2FE3" w:rsidP="00CA2F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2126"/>
      </w:tblGrid>
      <w:tr w:rsidR="00CA2FE3" w:rsidRPr="001246C7" w:rsidTr="008452AE">
        <w:tc>
          <w:tcPr>
            <w:tcW w:w="4928" w:type="dxa"/>
            <w:hideMark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410" w:type="dxa"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26" w:type="dxa"/>
            <w:hideMark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>Н.Н. Храпаль</w:t>
            </w:r>
          </w:p>
        </w:tc>
      </w:tr>
      <w:tr w:rsidR="00CA2FE3" w:rsidRPr="001246C7" w:rsidTr="008452AE">
        <w:tc>
          <w:tcPr>
            <w:tcW w:w="4928" w:type="dxa"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410" w:type="dxa"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26" w:type="dxa"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CA2FE3" w:rsidRPr="001246C7" w:rsidTr="008452AE">
        <w:tc>
          <w:tcPr>
            <w:tcW w:w="4928" w:type="dxa"/>
            <w:hideMark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26" w:type="dxa"/>
            <w:hideMark/>
          </w:tcPr>
          <w:p w:rsidR="00CA2FE3" w:rsidRPr="001246C7" w:rsidRDefault="00CA2FE3" w:rsidP="008452AE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 w:rsidRPr="001246C7">
              <w:rPr>
                <w:b w:val="0"/>
                <w:szCs w:val="28"/>
              </w:rPr>
              <w:t>Т.А. Лихачева</w:t>
            </w:r>
          </w:p>
        </w:tc>
      </w:tr>
    </w:tbl>
    <w:p w:rsidR="000E185B" w:rsidRPr="00D15AA9" w:rsidRDefault="000E185B" w:rsidP="00CA2FE3">
      <w:pPr>
        <w:rPr>
          <w:rFonts w:ascii="Times New Roman" w:eastAsia="Times New Roman" w:hAnsi="Times New Roman"/>
          <w:szCs w:val="20"/>
          <w:lang w:eastAsia="ru-RU"/>
        </w:rPr>
      </w:pPr>
    </w:p>
    <w:sectPr w:rsidR="000E185B" w:rsidRPr="00D15AA9" w:rsidSect="00CA2FE3">
      <w:footnotePr>
        <w:numRestart w:val="eachPage"/>
      </w:footnotePr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C2" w:rsidRDefault="000630C2" w:rsidP="00D77E74">
      <w:pPr>
        <w:spacing w:after="0" w:line="240" w:lineRule="auto"/>
      </w:pPr>
      <w:r>
        <w:separator/>
      </w:r>
    </w:p>
  </w:endnote>
  <w:endnote w:type="continuationSeparator" w:id="0">
    <w:p w:rsidR="000630C2" w:rsidRDefault="000630C2" w:rsidP="00D7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C2" w:rsidRDefault="000630C2" w:rsidP="00D77E74">
      <w:pPr>
        <w:spacing w:after="0" w:line="240" w:lineRule="auto"/>
      </w:pPr>
      <w:r>
        <w:separator/>
      </w:r>
    </w:p>
  </w:footnote>
  <w:footnote w:type="continuationSeparator" w:id="0">
    <w:p w:rsidR="000630C2" w:rsidRDefault="000630C2" w:rsidP="00D7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DF"/>
    <w:multiLevelType w:val="hybridMultilevel"/>
    <w:tmpl w:val="6CB279A6"/>
    <w:lvl w:ilvl="0" w:tplc="18B42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1707C"/>
    <w:multiLevelType w:val="hybridMultilevel"/>
    <w:tmpl w:val="B12A31FA"/>
    <w:lvl w:ilvl="0" w:tplc="22684F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E0D4BD0"/>
    <w:multiLevelType w:val="hybridMultilevel"/>
    <w:tmpl w:val="C1B00064"/>
    <w:lvl w:ilvl="0" w:tplc="22684F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C887A8B"/>
    <w:multiLevelType w:val="hybridMultilevel"/>
    <w:tmpl w:val="D650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D4A0E"/>
    <w:multiLevelType w:val="hybridMultilevel"/>
    <w:tmpl w:val="C1B00064"/>
    <w:lvl w:ilvl="0" w:tplc="22684F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1A"/>
    <w:rsid w:val="00011D14"/>
    <w:rsid w:val="00032368"/>
    <w:rsid w:val="00034E50"/>
    <w:rsid w:val="000630C2"/>
    <w:rsid w:val="00074ACE"/>
    <w:rsid w:val="000B6690"/>
    <w:rsid w:val="000C45BD"/>
    <w:rsid w:val="000E185B"/>
    <w:rsid w:val="001246C7"/>
    <w:rsid w:val="001341AB"/>
    <w:rsid w:val="001843DF"/>
    <w:rsid w:val="00216691"/>
    <w:rsid w:val="00353A1A"/>
    <w:rsid w:val="003726A5"/>
    <w:rsid w:val="00421AF3"/>
    <w:rsid w:val="00451ADA"/>
    <w:rsid w:val="00452EDE"/>
    <w:rsid w:val="004961C6"/>
    <w:rsid w:val="004A66FC"/>
    <w:rsid w:val="004D083F"/>
    <w:rsid w:val="004F2FA1"/>
    <w:rsid w:val="00550D52"/>
    <w:rsid w:val="006A4DBB"/>
    <w:rsid w:val="00753F13"/>
    <w:rsid w:val="007B40DE"/>
    <w:rsid w:val="007B6BFD"/>
    <w:rsid w:val="007B7652"/>
    <w:rsid w:val="00870139"/>
    <w:rsid w:val="00884C59"/>
    <w:rsid w:val="00887137"/>
    <w:rsid w:val="008A4901"/>
    <w:rsid w:val="008A773E"/>
    <w:rsid w:val="008E47C9"/>
    <w:rsid w:val="0093295E"/>
    <w:rsid w:val="00963C47"/>
    <w:rsid w:val="0096721A"/>
    <w:rsid w:val="009E3452"/>
    <w:rsid w:val="00A15247"/>
    <w:rsid w:val="00A661A1"/>
    <w:rsid w:val="00AA5349"/>
    <w:rsid w:val="00AC3B16"/>
    <w:rsid w:val="00B316E2"/>
    <w:rsid w:val="00B421FA"/>
    <w:rsid w:val="00BF4057"/>
    <w:rsid w:val="00C143C3"/>
    <w:rsid w:val="00C47009"/>
    <w:rsid w:val="00CA2FE3"/>
    <w:rsid w:val="00D37BFB"/>
    <w:rsid w:val="00D77E74"/>
    <w:rsid w:val="00D95C4E"/>
    <w:rsid w:val="00DC09E9"/>
    <w:rsid w:val="00E52D84"/>
    <w:rsid w:val="00E90BAA"/>
    <w:rsid w:val="00EE2024"/>
    <w:rsid w:val="00EE33F1"/>
    <w:rsid w:val="00F7086E"/>
    <w:rsid w:val="00F74988"/>
    <w:rsid w:val="00F9761D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7C9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0E18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0E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F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7C9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0E18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0E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1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F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2024-06-05T08:14:00Z</cp:lastPrinted>
  <dcterms:created xsi:type="dcterms:W3CDTF">2024-06-05T07:59:00Z</dcterms:created>
  <dcterms:modified xsi:type="dcterms:W3CDTF">2024-06-20T08:11:00Z</dcterms:modified>
</cp:coreProperties>
</file>