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48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pPr>
        <w:pStyle w:val="735"/>
      </w:pPr>
      <w:r>
        <w:t xml:space="preserve">АДМИНИСТРАЦИЯ КОЧКОВСКОГО РАЙОНА </w:t>
      </w:r>
      <w:r/>
    </w:p>
    <w:p>
      <w:pPr>
        <w:pStyle w:val="735"/>
      </w:pPr>
      <w:r>
        <w:t xml:space="preserve">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t xml:space="preserve">         </w:t>
      </w:r>
      <w:r>
        <w:rPr>
          <w:lang w:val="en-US"/>
        </w:rPr>
        <w:t xml:space="preserve">                                  </w:t>
      </w:r>
      <w:r>
        <w:rPr>
          <w:lang w:val="ru-RU"/>
        </w:rPr>
        <w:t xml:space="preserve">        </w:t>
      </w:r>
      <w:r>
        <w:rPr>
          <w:lang w:val="en-US"/>
        </w:rPr>
        <w:t xml:space="preserve">     </w:t>
      </w:r>
      <w:r>
        <w:rPr>
          <w:lang w:val="ru-RU"/>
        </w:rPr>
        <w:t xml:space="preserve">от</w:t>
      </w:r>
      <w:r>
        <w:t xml:space="preserve">  04</w:t>
      </w:r>
      <w:r>
        <w:rPr>
          <w:sz w:val="28"/>
          <w:szCs w:val="28"/>
        </w:rPr>
        <w:t xml:space="preserve">.03.2024г.  № 170-па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администрации Кочковского</w:t>
      </w:r>
      <w:r>
        <w:rPr>
          <w:b/>
          <w:bCs/>
          <w:sz w:val="28"/>
          <w:szCs w:val="28"/>
        </w:rPr>
        <w:t xml:space="preserve"> района Новосибирской области отдельных </w:t>
      </w:r>
      <w:r>
        <w:rPr>
          <w:b/>
          <w:bCs/>
          <w:sz w:val="28"/>
          <w:szCs w:val="28"/>
        </w:rPr>
        <w:t xml:space="preserve">полномочий муниципальных</w:t>
      </w:r>
      <w:r>
        <w:rPr>
          <w:b/>
          <w:bCs/>
          <w:sz w:val="28"/>
          <w:szCs w:val="28"/>
        </w:rPr>
        <w:t xml:space="preserve"> казённых учреждений Кочковского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firstLine="740"/>
        <w:jc w:val="both"/>
        <w:spacing w:before="57" w:beforeAutospacing="0" w:after="57" w:afterAutospacing="0" w:line="240" w:lineRule="auto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val="ru-RU" w:bidi="ru-RU"/>
        </w:rPr>
        <w:t xml:space="preserve">В соответствии </w:t>
      </w:r>
      <w:r>
        <w:rPr>
          <w:sz w:val="28"/>
          <w:szCs w:val="28"/>
          <w:lang w:val="ru-RU"/>
        </w:rPr>
        <w:t xml:space="preserve">с пунктом 6 статьи 264.1 Бюджетного кодекса Российской Федерации, пунктом 2 общих требований к передаче Федеральному казначейству, финансовому органу субъекта Росс</w:t>
      </w:r>
      <w:r>
        <w:rPr>
          <w:sz w:val="28"/>
          <w:szCs w:val="28"/>
          <w:lang w:val="ru-RU"/>
        </w:rPr>
        <w:t xml:space="preserve">ийской Федерации, финансовому органу муниципального образования полномочий соответственно федеральных органов исполнительной власти, органов исполнительной власти субъектов Российской Федерации, органов местной администрации (их территориальных органов, по</w:t>
      </w:r>
      <w:r>
        <w:rPr>
          <w:sz w:val="28"/>
          <w:szCs w:val="28"/>
          <w:lang w:val="ru-RU"/>
        </w:rPr>
        <w:t xml:space="preserve">дведомственных казенных учреждений)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</w:t>
      </w:r>
      <w:r>
        <w:rPr>
          <w:sz w:val="28"/>
          <w:szCs w:val="28"/>
          <w:lang w:val="ru-RU"/>
        </w:rPr>
        <w:t xml:space="preserve">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</w:t>
      </w:r>
      <w:r>
        <w:rPr>
          <w:sz w:val="28"/>
          <w:szCs w:val="28"/>
          <w:lang w:val="ru-RU"/>
        </w:rPr>
        <w:t xml:space="preserve">ие государственные (муниципальные) органы, утвержденных постановлением Правительства Российской Федерации от 27.12.2019 № 1890 «Об общих требованиях к передаче Федеральному казначейству, финансовому органу субъекта Российской Федерации, финансовому органу </w:t>
      </w:r>
      <w:r>
        <w:rPr>
          <w:rStyle w:val="889"/>
          <w:sz w:val="28"/>
          <w:szCs w:val="28"/>
        </w:rPr>
        <w:t xml:space="preserve">муниципального образования полномочий соответственно федеральных </w:t>
      </w:r>
      <w:r>
        <w:rPr>
          <w:sz w:val="28"/>
          <w:szCs w:val="28"/>
          <w:lang w:val="ru-RU"/>
        </w:rPr>
        <w:t xml:space="preserve">органов исполнительной власти, органов исполнитель</w:t>
      </w:r>
      <w:r>
        <w:rPr>
          <w:sz w:val="28"/>
          <w:szCs w:val="28"/>
          <w:lang w:val="ru-RU"/>
        </w:rPr>
        <w:t xml:space="preserve">ной власти субъектов Российской Федерации, органов местной администрации (их территориальных органов, подведомственных казенных учреждений) по начислению физическим лицам выплат по оплате труда и иных выплат, а также связанных с ними обязательных платежей </w:t>
      </w:r>
      <w:r>
        <w:rPr>
          <w:rStyle w:val="889"/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</w:t>
      </w:r>
      <w:r>
        <w:rPr>
          <w:sz w:val="28"/>
          <w:szCs w:val="28"/>
          <w:lang w:val="ru-RU"/>
        </w:rPr>
        <w:t xml:space="preserve">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органы», администрация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40"/>
        <w:jc w:val="both"/>
        <w:spacing w:before="57" w:beforeAutospacing="0" w:after="57" w:afterAutospacing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ПОСТАНОВЛЯЕТ</w:t>
      </w:r>
      <w:r>
        <w:rPr>
          <w:sz w:val="28"/>
          <w:szCs w:val="28"/>
          <w:lang w:val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40"/>
        <w:jc w:val="both"/>
        <w:spacing w:before="57" w:beforeAutospacing="0" w:after="57" w:afterAutospacing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009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Передать администрации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(далее - уполномоченный орган) согласно перечню и срокам, установленным пунктом 2 настоящего постановления, следующие полномочия муниципальных казённых учреждений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1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2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1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2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ведение бюджетного учета, включая составление и представление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0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1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488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еречень и</w:t>
      </w:r>
      <w:r>
        <w:rPr>
          <w:sz w:val="28"/>
          <w:szCs w:val="28"/>
          <w:lang w:val="ru-RU"/>
        </w:rPr>
        <w:t xml:space="preserve"> сроки передачи полномочий муниципальных казённых учреждений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Новосибирской области, полномочия которых централизуются (далее - Перечень), согласно приложению </w:t>
      </w:r>
      <w:r>
        <w:rPr>
          <w:rStyle w:val="891"/>
          <w:sz w:val="28"/>
          <w:szCs w:val="28"/>
        </w:rPr>
        <w:t xml:space="preserve">№ </w:t>
      </w:r>
      <w:r>
        <w:rPr>
          <w:rStyle w:val="892"/>
          <w:sz w:val="28"/>
          <w:szCs w:val="28"/>
        </w:rPr>
        <w:t xml:space="preserve">1</w:t>
      </w:r>
      <w:r>
        <w:rPr>
          <w:rStyle w:val="891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2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Определить, что обеспечение выполнения централизуемых полномочий осуществляется посредством автоматизированной системы «Смета» государственной информационной системы «Автоматизированная система управления бюджетными процессами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Установить, что уполномоченный орган осуществляет централизуемые полномочия через подведомственное ему Муниципальное казённое  учреждение «Центр бухгалтерского, </w:t>
      </w:r>
      <w:r>
        <w:rPr>
          <w:sz w:val="28"/>
          <w:szCs w:val="28"/>
          <w:lang w:val="ru-RU"/>
        </w:rPr>
        <w:t xml:space="preserve">материально-технического и </w:t>
      </w:r>
      <w:r>
        <w:rPr>
          <w:sz w:val="28"/>
          <w:szCs w:val="28"/>
          <w:lang w:val="ru-RU"/>
        </w:rPr>
        <w:t xml:space="preserve">информационного обеспечения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Кочковского района Новосибирской области</w:t>
      </w:r>
      <w:r>
        <w:rPr>
          <w:sz w:val="28"/>
          <w:szCs w:val="28"/>
          <w:lang w:val="ru-RU"/>
        </w:rPr>
        <w:t xml:space="preserve"> (далее </w:t>
      </w:r>
      <w:r>
        <w:rPr>
          <w:rFonts w:eastAsia="Tahoma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уполномоченная организация) в соответствии с Положением об организации осуществления централизуемых полномочий через </w:t>
      </w:r>
      <w:r>
        <w:rPr>
          <w:sz w:val="28"/>
          <w:szCs w:val="28"/>
          <w:lang w:val="ru-RU"/>
        </w:rPr>
        <w:t xml:space="preserve">Муниципальное казённое  учреждение «Центр бухгалтерского, </w:t>
      </w:r>
      <w:r>
        <w:rPr>
          <w:sz w:val="28"/>
          <w:szCs w:val="28"/>
          <w:lang w:val="ru-RU"/>
        </w:rPr>
        <w:t xml:space="preserve">материально-технического и </w:t>
      </w:r>
      <w:r>
        <w:rPr>
          <w:sz w:val="28"/>
          <w:szCs w:val="28"/>
          <w:lang w:val="ru-RU"/>
        </w:rPr>
        <w:t xml:space="preserve">информационного обеспечения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Кочковского района Новосибирской области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(далее - Положение) согласно приложению </w:t>
      </w:r>
      <w:r>
        <w:rPr>
          <w:sz w:val="28"/>
          <w:szCs w:val="28"/>
        </w:rPr>
        <w:t xml:space="preserve">№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2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Муниципальным казенным учреждениям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 xml:space="preserve">в соответствии с Перечнем (далее субъекты централизованного учета) организовать передачу необходимых для осуществления централизуемых полномочий документов (сведений) уполномоченной организации в соответствии с Положением;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60"/>
        <w:jc w:val="both"/>
        <w:spacing w:before="57" w:beforeAutospacing="0" w:after="57" w:afterAutospacing="0" w:line="322" w:lineRule="exact"/>
        <w:shd w:val="clear" w:color="auto" w:fill="auto"/>
        <w:tabs>
          <w:tab w:val="left" w:pos="12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Муниципальным казённым учреждениям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Новосибирской области прекратить (завершить) исполнение централизуемых полномочий, осуществляемых на основании соглашений (договоров) иными организациями (далее - централизованные бухгалтерии).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40"/>
        <w:jc w:val="both"/>
        <w:spacing w:before="57" w:beforeAutospacing="0" w:after="57" w:afterAutospacing="0" w:line="322" w:lineRule="exact"/>
        <w:shd w:val="clear" w:color="auto" w:fill="auto"/>
        <w:tabs>
          <w:tab w:val="left" w:pos="1493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Централизованной бухгалтерии организовать передачу уполномоченной организации документов (сведений), необходимых для осуществления централизуемых полномочий в соответствии с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4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Определить, что взаимодействие уполномоченного органа, уполномоченной организации и субъектов централизованного учета обеспечивается информационной совместимостью государственных информационных систем и информационных ресурсов, средствами которых осуществл</w:t>
      </w:r>
      <w:r>
        <w:rPr>
          <w:sz w:val="28"/>
          <w:szCs w:val="28"/>
          <w:lang w:val="ru-RU"/>
        </w:rPr>
        <w:t xml:space="preserve">яется формирование и обмен информацией и документами в электронном виде (в форме электронных документов), межведомственным обменом информацией, однозначной идентификацией объектов правоотношений в правовых актах при осуществлении централизуемых полномочий.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74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Рекомендовать </w:t>
      </w:r>
      <w:r>
        <w:rPr>
          <w:sz w:val="28"/>
          <w:szCs w:val="28"/>
          <w:lang w:val="ru-RU"/>
        </w:rPr>
        <w:t xml:space="preserve">органам местного самоуправления сельских муниципальных образований разработать и утвердить муниципальные правовые</w:t>
      </w:r>
      <w:r>
        <w:rPr>
          <w:sz w:val="28"/>
          <w:szCs w:val="28"/>
          <w:lang w:val="ru-RU"/>
        </w:rPr>
        <w:t xml:space="preserve"> акты, направленные на централизацию бюджетного (бухгалтерского) учета и формирование бюджетной отчетности посредством передачи функций по ведению бюджетного (бухгалтерского) учета и формированию бюджетной (бухгалтерской) отчетности в уполномоченный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1"/>
          <w:numId w:val="7"/>
        </w:numPr>
        <w:ind w:firstLine="74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</w:rPr>
      </w:r>
      <w:bookmarkStart w:id="0" w:name="_Hlk129852740"/>
      <w:r>
        <w:rPr>
          <w:sz w:val="28"/>
          <w:szCs w:val="28"/>
          <w:lang w:val="ru-RU"/>
        </w:rPr>
        <w:t xml:space="preserve">Определить в качестве уполномоченного учреждения, осуществляющего исполнение принятых от администраций муниципальных образований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Новосибирской области функций - </w:t>
      </w:r>
      <w:r>
        <w:rPr>
          <w:sz w:val="28"/>
          <w:szCs w:val="28"/>
          <w:lang w:val="ru-RU"/>
        </w:rPr>
        <w:t xml:space="preserve">Муниципальное казённое учреждение «Центр бухгалтерского, </w:t>
      </w:r>
      <w:r>
        <w:rPr>
          <w:sz w:val="28"/>
          <w:szCs w:val="28"/>
          <w:lang w:val="ru-RU"/>
        </w:rPr>
        <w:t xml:space="preserve">материально-технического и </w:t>
      </w:r>
      <w:r>
        <w:rPr>
          <w:sz w:val="28"/>
          <w:szCs w:val="28"/>
          <w:lang w:val="ru-RU"/>
        </w:rPr>
        <w:t xml:space="preserve">информационного обеспечения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Кочковского района Новосибирской области</w:t>
      </w:r>
      <w:r>
        <w:rPr>
          <w:sz w:val="28"/>
          <w:szCs w:val="28"/>
          <w:lang w:val="ru-RU"/>
        </w:rPr>
        <w:t xml:space="preserve">;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7"/>
        </w:numPr>
        <w:ind w:left="0" w:right="0" w:firstLine="850"/>
        <w:spacing w:before="57" w:beforeAutospacing="0" w:after="57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передачи отдельных бюджетных полномочий, направленных на централизацию бюджетного (бухгалтерского) учета и формирование бюджетной отчетности в уполномоченный орган, необходимо провести следующие мероприятия: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57" w:beforeAutospacing="0" w:after="57" w:afterAutospacing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- определить в качестве уполномоченного учреждения, осуществляющего исполнение принятых от администраций муниципальных образований </w:t>
      </w:r>
      <w:r>
        <w:rPr>
          <w:sz w:val="28"/>
          <w:szCs w:val="28"/>
          <w:lang w:eastAsia="en-US"/>
        </w:rPr>
        <w:t xml:space="preserve">Кочковского</w:t>
      </w:r>
      <w:r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 xml:space="preserve">а Новосибирской </w:t>
      </w:r>
      <w:r>
        <w:rPr>
          <w:sz w:val="28"/>
          <w:szCs w:val="28"/>
          <w:lang w:eastAsia="en-US"/>
        </w:rPr>
        <w:t xml:space="preserve">области функций -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Муниципальное казённое учреждение «Центр бухгалтерского, </w:t>
      </w:r>
      <w:r>
        <w:rPr>
          <w:sz w:val="28"/>
          <w:szCs w:val="28"/>
        </w:rPr>
        <w:t xml:space="preserve">материально-технического и </w:t>
      </w:r>
      <w:r>
        <w:rPr>
          <w:sz w:val="28"/>
          <w:szCs w:val="28"/>
        </w:rPr>
        <w:t xml:space="preserve">информационного обеспечения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района Новосибирской области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- </w:t>
      </w:r>
      <w:r>
        <w:rPr>
          <w:sz w:val="28"/>
          <w:szCs w:val="28"/>
          <w:lang w:val="ru-RU"/>
        </w:rPr>
        <w:t xml:space="preserve">организовать передачу необходимых для осуществления централизуемых полномочий документов (сведений) уполномоченной организации в соответствии с Положением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- прекратить (завершить) исполнение централизуемых полномочий, осуществляемых на основании соглашений (договоров) иными организациями (далее - централизованные бухгалтерии);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- </w:t>
      </w:r>
      <w:r>
        <w:rPr>
          <w:sz w:val="28"/>
          <w:szCs w:val="28"/>
          <w:lang w:val="ru-RU"/>
        </w:rPr>
        <w:t xml:space="preserve">централизованной бухгалтерии организовать передачу уполномоченной организации документов (сведений), необходимых для осуществления централизуемых полномочий в соответствии с Положением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57" w:beforeAutospacing="0" w:after="57" w:afterAutospacing="0" w:line="322" w:lineRule="exact"/>
        <w:shd w:val="clear" w:color="auto" w:fill="auto"/>
        <w:tabs>
          <w:tab w:val="left" w:pos="130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>
        <w:rPr>
          <w:sz w:val="28"/>
          <w:szCs w:val="28"/>
          <w:lang w:val="ru-RU"/>
        </w:rPr>
        <w:t xml:space="preserve">определить, что взаимодействие уполномоченного органа, уполномоченной организации и субъектов централизованного учета обеспечивается информационной совместимостью государственных информационных систем и информационных ресурсов, средствами которых осуществ</w:t>
      </w:r>
      <w:r>
        <w:rPr>
          <w:sz w:val="28"/>
          <w:szCs w:val="28"/>
          <w:lang w:val="ru-RU"/>
        </w:rPr>
        <w:t xml:space="preserve">ляется формирование и обмен информацией и документами в электронном виде (в форме электронных документов), межведомственным обменом информацией, однозначной идентификацией объектов правоотношений в правовых актах при осуществлении централизуемых полномочий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7"/>
        </w:numPr>
        <w:ind w:firstLine="851"/>
        <w:jc w:val="both"/>
        <w:spacing w:before="57" w:beforeAutospacing="0" w:after="57" w:afterAutospacing="0" w:line="240" w:lineRule="auto"/>
        <w:shd w:val="clear" w:color="auto" w:fill="auto"/>
        <w:tabs>
          <w:tab w:val="left" w:pos="106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>
        <w:rPr>
          <w:sz w:val="28"/>
          <w:szCs w:val="28"/>
          <w:lang w:val="ru-RU"/>
        </w:rPr>
        <w:t xml:space="preserve">возложить на </w:t>
      </w:r>
      <w:r>
        <w:rPr>
          <w:sz w:val="28"/>
          <w:szCs w:val="28"/>
          <w:lang w:val="ru-RU"/>
        </w:rPr>
        <w:t xml:space="preserve">заместителя главы администрации Кочковского района Новосибирской области Белоус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40"/>
        <w:jc w:val="both"/>
        <w:spacing w:before="57" w:beforeAutospacing="0" w:after="57" w:afterAutospacing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0"/>
        <w:ind w:firstLine="740"/>
        <w:jc w:val="both"/>
        <w:spacing w:before="0" w:after="0" w:line="240" w:lineRule="auto"/>
        <w:shd w:val="clear" w:color="auto" w:fil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425" w:firstLine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П.А.Шилин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Белоус М.В.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20-242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___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.03.202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 и сроки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 полномочий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муниципальных казённых учреждений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Кочковского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559"/>
        <w:gridCol w:w="2620"/>
      </w:tblGrid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п/п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Планируемый месяц передачи части полномочий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contextualSpacing/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textDirection w:val="lrTb"/>
            <w:noWrap w:val="false"/>
          </w:tcPr>
          <w:p>
            <w:pPr>
              <w:contextualSpacing/>
              <w:jc w:val="center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учреждение "Центр бухгалтерского, материально-технического и информационного обеспечения"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учреждение дополнительного образования "Детская школа искусств"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Кочковский детский сад "Солнышко"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4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Красносибирский детский сад "Чебурашка"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Новоцелинный детский сад "Ромашка"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6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Быструхинский детский сад "Колосок"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7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Новорешетовский детский сад "Колокольчик"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8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Решетовский детский сад "Ручеек" Кочковского </w:t>
            </w:r>
            <w:r>
              <w:rPr>
                <w:rFonts w:eastAsia="Calibri"/>
                <w:color w:val="000000"/>
                <w:lang w:eastAsia="en-US"/>
              </w:rPr>
              <w:t xml:space="preserve">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Жуланский детский сад "Теремок"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дошкольное образовательное учреждение Черновский детский сад "Березка"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март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11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vAlign w:val="bottom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образовательное учреждение "Новорешетовская средняя школа"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апрель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12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vAlign w:val="bottom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образовательное учреждение "Решетовская средняя школа"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апрель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13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vAlign w:val="bottom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образовательное учреждение "Троицкая средняя школа"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апрель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14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vAlign w:val="bottom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образовательное учреждение "Букреевская основная школа"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апрель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vAlign w:val="bottom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образовательное учреждение "Ермаковская основная школа"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апрель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16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vAlign w:val="bottom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образовательное учреждение "Республиканская основная школа" Кочковского района Новосибирской области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апрель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учреждение "Централизованная библиотечная система Кочковского района"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май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566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18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6559" w:type="dxa"/>
            <w:textDirection w:val="lrTb"/>
            <w:noWrap w:val="false"/>
          </w:tcPr>
          <w:p>
            <w:pPr>
              <w:jc w:val="left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Муниципальное казенное учреждение культуры "Кочковский историко-краеведческий музей"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2620" w:type="dxa"/>
            <w:vAlign w:val="bottom"/>
            <w:textDirection w:val="lrTb"/>
            <w:noWrap w:val="false"/>
          </w:tcPr>
          <w:p>
            <w:pPr>
              <w:jc w:val="center"/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май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</w:tr>
    </w:tbl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tabs>
          <w:tab w:val="left" w:pos="3885" w:leader="none"/>
        </w:tabs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01.03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388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организации осуществления централизуемых</w:t>
      </w:r>
      <w:r>
        <w:rPr>
          <w:b/>
          <w:sz w:val="28"/>
          <w:szCs w:val="28"/>
        </w:rPr>
        <w:t xml:space="preserve"> полномочий через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казенное учреждение "Центр бухгалтерского, материально-технического и информационного обеспечения" Кочковского района Новосибирской области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8"/>
        </w:numPr>
        <w:jc w:val="both"/>
        <w:spacing w:before="0" w:after="0" w:line="317" w:lineRule="exact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Настоящее Положение устанавливает общие требования к организации осуществления переданных администрации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(далее - уполномоченный орган) полномочий муниципальных учреждений </w:t>
      </w:r>
      <w:r>
        <w:rPr>
          <w:sz w:val="28"/>
          <w:szCs w:val="28"/>
          <w:lang w:val="ru-RU"/>
        </w:rPr>
        <w:t xml:space="preserve">Кочковского</w:t>
      </w:r>
      <w:r>
        <w:rPr>
          <w:sz w:val="28"/>
          <w:szCs w:val="28"/>
          <w:lang w:val="ru-RU"/>
        </w:rPr>
        <w:t xml:space="preserve"> района Новосибирской области (далее - су</w:t>
      </w:r>
      <w:r>
        <w:rPr>
          <w:sz w:val="28"/>
          <w:szCs w:val="28"/>
          <w:lang w:val="ru-RU"/>
        </w:rPr>
        <w:t xml:space="preserve">бъекты централизованного учета)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</w:t>
      </w:r>
      <w:r>
        <w:rPr>
          <w:sz w:val="28"/>
          <w:szCs w:val="28"/>
          <w:lang w:val="ru-RU"/>
        </w:rPr>
        <w:t xml:space="preserve">тавление и представление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 (далее - централизуемые полномочия) через </w:t>
      </w:r>
      <w:r>
        <w:rPr>
          <w:color w:val="000000"/>
          <w:sz w:val="28"/>
          <w:szCs w:val="28"/>
          <w:lang w:val="ru-RU"/>
        </w:rPr>
        <w:t xml:space="preserve">Муниципальное казенное учреждение "Центр бухгалтерского, материально-технического и информационного обеспечения" Кочковского района Новосибирской области</w:t>
      </w:r>
      <w:r>
        <w:rPr>
          <w:sz w:val="28"/>
          <w:szCs w:val="28"/>
          <w:lang w:val="ru-RU"/>
        </w:rPr>
        <w:t xml:space="preserve"> (далее - уполномоченная организация).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8"/>
        </w:numPr>
        <w:jc w:val="both"/>
        <w:spacing w:before="0" w:after="0" w:line="317" w:lineRule="exact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Уполномоченная организация обеспечивает применение единых методов и способов ведения бухгалтерского учета, установленных</w:t>
      </w:r>
      <w:r>
        <w:rPr>
          <w:sz w:val="28"/>
          <w:szCs w:val="28"/>
          <w:lang w:val="ru-RU"/>
        </w:rPr>
        <w:t xml:space="preserve"> с соблюдением требований законодательства Российской Федерации (федеральных стандартов бухгалтерского учета государственных финансов) в рамках единой учетной политики при централизации учета актами уполномоченного органа (далее - единая учетная политика).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8"/>
        </w:numPr>
        <w:jc w:val="both"/>
        <w:spacing w:before="0" w:after="0" w:line="317" w:lineRule="exact"/>
        <w:shd w:val="clear" w:color="auto" w:fill="auto"/>
        <w:tabs>
          <w:tab w:val="left" w:pos="567" w:leader="none"/>
          <w:tab w:val="left" w:pos="142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Уполном</w:t>
      </w:r>
      <w:r>
        <w:rPr>
          <w:sz w:val="28"/>
          <w:szCs w:val="28"/>
          <w:lang w:val="ru-RU"/>
        </w:rPr>
        <w:t xml:space="preserve">оченная организация осуществляет обработку персональных данных, полученных от субъектов централизованного учета, в целях реализации централизуемых полномочий и с соблюдением требований законодательства Российской Федерации в области обработки персональных </w:t>
      </w:r>
      <w:r>
        <w:rPr>
          <w:rStyle w:val="891"/>
          <w:sz w:val="28"/>
          <w:szCs w:val="28"/>
        </w:rPr>
        <w:t xml:space="preserve">данных, связанных </w:t>
      </w:r>
      <w:r>
        <w:rPr>
          <w:sz w:val="28"/>
          <w:szCs w:val="28"/>
          <w:lang w:val="ru-RU"/>
        </w:rPr>
        <w:t xml:space="preserve">в </w:t>
      </w:r>
      <w:r>
        <w:rPr>
          <w:rStyle w:val="891"/>
          <w:sz w:val="28"/>
          <w:szCs w:val="28"/>
        </w:rPr>
        <w:t xml:space="preserve">том числе с соблюдением конфиденциальности </w:t>
      </w:r>
      <w:r>
        <w:rPr>
          <w:sz w:val="28"/>
          <w:szCs w:val="28"/>
          <w:lang w:val="ru-RU"/>
        </w:rPr>
        <w:t xml:space="preserve">персональных данных и обеспечением их безопасности.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8"/>
        </w:numPr>
        <w:jc w:val="both"/>
        <w:spacing w:before="0" w:after="0" w:line="317" w:lineRule="exact"/>
        <w:shd w:val="clear" w:color="auto" w:fill="auto"/>
        <w:tabs>
          <w:tab w:val="left" w:pos="567" w:leader="none"/>
          <w:tab w:val="left" w:pos="1023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Уполномоченная организация обеспечивает соб</w:t>
      </w:r>
      <w:r>
        <w:rPr>
          <w:sz w:val="28"/>
          <w:szCs w:val="28"/>
          <w:lang w:val="ru-RU"/>
        </w:rPr>
        <w:t xml:space="preserve">людение требований законодательства Российской Федерации, связанных с защитой сведений, составляющих государственную тайну, а также иной информации с ограниченным доступом, при работе с документами (сведениями), содержащими указанные сведения и информацию.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12" w:lineRule="exact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Взаимодействие уполномоченной организации с Федеральной н</w:t>
      </w:r>
      <w:r>
        <w:rPr>
          <w:sz w:val="28"/>
          <w:szCs w:val="28"/>
          <w:lang w:val="ru-RU"/>
        </w:rPr>
        <w:t xml:space="preserve">алоговой службой, федеральной службой государственной статистики, внебюджетными фондами Российской Федерации и иными государственными органами осуществляется в соответствии с законодательством Российской Федерации от имени субъекта централизованного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22" w:lineRule="exact"/>
        <w:shd w:val="clear" w:color="auto" w:fill="auto"/>
        <w:tabs>
          <w:tab w:val="left" w:pos="567" w:leader="none"/>
          <w:tab w:val="left" w:pos="104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Взаи</w:t>
      </w:r>
      <w:r>
        <w:rPr>
          <w:sz w:val="28"/>
          <w:szCs w:val="28"/>
          <w:lang w:val="ru-RU"/>
        </w:rPr>
        <w:t xml:space="preserve">модействие между уполномоченной организацией и субъектами централизованного учета по обеспечению документального оформления фактов хозяйственной жизни, представления (получения) документов (сведений), необходимых для осуществления централизуемых полномочий</w:t>
      </w:r>
      <w:r>
        <w:rPr>
          <w:sz w:val="28"/>
          <w:szCs w:val="28"/>
          <w:lang w:val="ru-RU"/>
        </w:rPr>
        <w:t xml:space="preserve">, а также по представлению субъектам централизованного учета документов (сведений), сформированных (используемых) при осуществлении централизуемых полномочий, организуется в соответствии с правилами документооборота, установленными единой учетной политики.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22" w:lineRule="exact"/>
        <w:shd w:val="clear" w:color="auto" w:fill="auto"/>
        <w:tabs>
          <w:tab w:val="left" w:pos="567" w:leader="none"/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Документооборот между уполномоченной организацией и субъектами централизованного учета осуществляется посредством автоматизированной системы «Смета» государственной </w:t>
      </w:r>
      <w:r>
        <w:rPr>
          <w:sz w:val="28"/>
          <w:szCs w:val="28"/>
          <w:lang w:val="ru-RU"/>
        </w:rPr>
        <w:t xml:space="preserve">информационной </w:t>
      </w:r>
      <w:r>
        <w:rPr>
          <w:sz w:val="28"/>
          <w:szCs w:val="28"/>
          <w:lang w:val="ru-RU"/>
        </w:rPr>
        <w:t xml:space="preserve">системы «Автоматизированная системы управления бюджетными процессами Новосибирской области» (далее - АС «Смета») уполномоченными лицами, определенными решениями уполномоченной организации и субъектов централизованного учета (далее - уполномоченные лица), с</w:t>
      </w:r>
      <w:r>
        <w:rPr>
          <w:sz w:val="28"/>
          <w:szCs w:val="28"/>
          <w:lang w:val="ru-RU"/>
        </w:rPr>
        <w:tab/>
        <w:t xml:space="preserve">предоставлением им права использования усиленной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квалифицированной электронной подписи.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22" w:lineRule="exact"/>
        <w:shd w:val="clear" w:color="auto" w:fill="auto"/>
        <w:tabs>
          <w:tab w:val="left" w:pos="567" w:leader="none"/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Передача документов, содержащих сведения, составляющие государственную тайну, осуществляется в соответствии с требованиями Закона Российской Федерации от 21.07.1993 № 5485-1 «О государственной тайне».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22" w:lineRule="exact"/>
        <w:shd w:val="clear" w:color="auto" w:fill="auto"/>
        <w:tabs>
          <w:tab w:val="left" w:pos="567" w:leader="none"/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Субъекты централизованного учета осуществляют хранение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оригиналов</w:t>
      </w:r>
      <w:r>
        <w:rPr>
          <w:sz w:val="28"/>
          <w:szCs w:val="28"/>
          <w:lang w:val="ru-RU"/>
        </w:rPr>
        <w:tab/>
        <w:t xml:space="preserve">первичных учетных документов в соответствии с установленными правилами государственного архивного дела.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22" w:lineRule="exact"/>
        <w:shd w:val="clear" w:color="auto" w:fill="auto"/>
        <w:tabs>
          <w:tab w:val="left" w:pos="567" w:leader="none"/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Субъекты централизованного учета несут ответственность за: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22" w:lineRule="exact"/>
        <w:shd w:val="clear" w:color="auto" w:fill="auto"/>
        <w:tabs>
          <w:tab w:val="left" w:pos="567" w:leader="none"/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- </w:t>
      </w:r>
      <w:r>
        <w:rPr>
          <w:sz w:val="28"/>
          <w:szCs w:val="28"/>
        </w:rPr>
        <w:t xml:space="preserve">законность совершаемых хозяйственных операций;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22" w:lineRule="exact"/>
        <w:shd w:val="clear" w:color="auto" w:fill="auto"/>
        <w:tabs>
          <w:tab w:val="left" w:pos="1276" w:leader="none"/>
          <w:tab w:val="left" w:pos="14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- </w:t>
      </w:r>
      <w:r>
        <w:rPr>
          <w:sz w:val="28"/>
          <w:szCs w:val="28"/>
          <w:lang w:val="ru-RU"/>
        </w:rPr>
        <w:t xml:space="preserve">своевременное представление в уполномоченную организацию первичных учетных документов, необходимых для исполнения централизуемых полномочий, в сроки, установленные положениями единой учетной политики;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22" w:lineRule="exact"/>
        <w:shd w:val="clear" w:color="auto" w:fill="auto"/>
        <w:tabs>
          <w:tab w:val="left" w:pos="1276" w:leader="none"/>
          <w:tab w:val="left" w:pos="14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- </w:t>
      </w:r>
      <w:r>
        <w:rPr>
          <w:sz w:val="28"/>
          <w:szCs w:val="28"/>
          <w:lang w:val="ru-RU"/>
        </w:rPr>
        <w:t xml:space="preserve">достоверность передаваемых документов (сведений);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22" w:lineRule="exact"/>
        <w:shd w:val="clear" w:color="auto" w:fill="auto"/>
        <w:tabs>
          <w:tab w:val="left" w:pos="1276" w:leader="none"/>
          <w:tab w:val="left" w:pos="14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- </w:t>
      </w:r>
      <w:r>
        <w:rPr>
          <w:sz w:val="28"/>
          <w:szCs w:val="28"/>
          <w:lang w:val="ru-RU"/>
        </w:rPr>
        <w:t xml:space="preserve">надлежащее оформление и составление первичных учетных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22" w:lineRule="exact"/>
        <w:shd w:val="clear" w:color="auto" w:fill="auto"/>
        <w:tabs>
          <w:tab w:val="left" w:pos="1276" w:leader="none"/>
          <w:tab w:val="left" w:pos="1391" w:leader="none"/>
        </w:tabs>
        <w:rPr>
          <w:sz w:val="28"/>
          <w:szCs w:val="28"/>
        </w:rPr>
      </w:pPr>
      <w:r>
        <w:rPr>
          <w:rStyle w:val="891"/>
          <w:sz w:val="28"/>
          <w:szCs w:val="28"/>
        </w:rPr>
        <w:t xml:space="preserve">         - </w:t>
      </w:r>
      <w:r>
        <w:rPr>
          <w:rStyle w:val="891"/>
          <w:sz w:val="28"/>
          <w:szCs w:val="28"/>
        </w:rPr>
        <w:t xml:space="preserve">идентичность </w:t>
      </w:r>
      <w:r>
        <w:rPr>
          <w:sz w:val="28"/>
          <w:szCs w:val="28"/>
          <w:lang w:val="ru-RU"/>
        </w:rPr>
        <w:t xml:space="preserve">электронных образов документов (сведений) (скан - образов), переданных уполномоченной организации, оригиналам первичных учетных документов на бумажном носителе;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22" w:lineRule="exact"/>
        <w:shd w:val="clear" w:color="auto" w:fill="auto"/>
        <w:tabs>
          <w:tab w:val="left" w:pos="1276" w:leader="none"/>
          <w:tab w:val="left" w:pos="138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- </w:t>
      </w:r>
      <w:r>
        <w:rPr>
          <w:sz w:val="28"/>
          <w:szCs w:val="28"/>
          <w:lang w:val="ru-RU"/>
        </w:rPr>
        <w:t xml:space="preserve">полноту и достоверность персональных данных, содержащихся в АС «Смета».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426"/>
        <w:jc w:val="both"/>
        <w:spacing w:before="0" w:after="0" w:line="317" w:lineRule="exact"/>
        <w:shd w:val="clear" w:color="auto" w:fill="auto"/>
        <w:tabs>
          <w:tab w:val="left" w:pos="131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Уполномоченная организация несет ответственность за: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  <w:tab w:val="left" w:pos="14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- </w:t>
      </w:r>
      <w:r>
        <w:rPr>
          <w:sz w:val="28"/>
          <w:szCs w:val="28"/>
          <w:lang w:val="ru-RU"/>
        </w:rPr>
        <w:t xml:space="preserve">неисполнение или ненадлежащее исполнение централизуемых полномочий;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- </w:t>
      </w:r>
      <w:r>
        <w:rPr>
          <w:sz w:val="28"/>
          <w:szCs w:val="28"/>
          <w:lang w:val="ru-RU"/>
        </w:rPr>
        <w:t xml:space="preserve">несоблюдение требований, установленных </w:t>
      </w:r>
      <w:r>
        <w:rPr>
          <w:rStyle w:val="891"/>
          <w:sz w:val="28"/>
          <w:szCs w:val="28"/>
        </w:rPr>
        <w:t xml:space="preserve">законодательством </w:t>
      </w:r>
      <w:r>
        <w:rPr>
          <w:sz w:val="28"/>
          <w:szCs w:val="28"/>
          <w:lang w:val="ru-RU"/>
        </w:rPr>
        <w:t xml:space="preserve">Российской Федерации в области обработки персональных данных, связанных в том числе с соблюдением конфиденциальности персональных данных и обеспечением их безопасности.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17" w:lineRule="exact"/>
        <w:shd w:val="clear" w:color="auto" w:fill="auto"/>
        <w:tabs>
          <w:tab w:val="left" w:pos="567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Субъекты централизованного учета обеспечивают своевременную передачу уполномоченной организации первичных учетных документов для регистрации содержащихся в них данных в регистрах бухгалтерского учета, а также достоверность этих данных. Уполно</w:t>
      </w:r>
      <w:r>
        <w:rPr>
          <w:sz w:val="28"/>
          <w:szCs w:val="28"/>
          <w:lang w:val="ru-RU"/>
        </w:rPr>
        <w:t xml:space="preserve">моченная организация не несет ответственности за соответствие составленных субъектами централизованного учета первичных учетных документов свершившимся фактам хозяйственной жизни. Требования в письменной форме уполномоченной организации в отношении соблюде</w:t>
      </w:r>
      <w:r>
        <w:rPr>
          <w:sz w:val="28"/>
          <w:szCs w:val="28"/>
          <w:lang w:val="ru-RU"/>
        </w:rPr>
        <w:t xml:space="preserve">ния установленного порядка документального оформления фактов хозяйственной жизни, представления документов (сведений), необходимых для ведения бюджетного (бухгалтерского) учета уполномоченной организацией, обязательны для субъектов централизованного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17" w:lineRule="exact"/>
        <w:shd w:val="clear" w:color="auto" w:fill="auto"/>
        <w:tabs>
          <w:tab w:val="left" w:pos="567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случае возникновения разногласий в отношении ведения бюджетного (бухгалтерского) учета между руководителем субъекта централизованного учета и уполномоченной организацией: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  <w:tab w:val="left" w:pos="1514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- </w:t>
      </w:r>
      <w:r>
        <w:rPr>
          <w:sz w:val="28"/>
          <w:szCs w:val="28"/>
          <w:lang w:val="ru-RU"/>
        </w:rPr>
        <w:t xml:space="preserve">данные, содержащиеся в первичном учетном документе, принимаются (не принимаются) упол</w:t>
      </w:r>
      <w:r>
        <w:rPr>
          <w:sz w:val="28"/>
          <w:szCs w:val="28"/>
          <w:lang w:val="ru-RU"/>
        </w:rPr>
        <w:t xml:space="preserve">номоченной организацией к регистрации и накоплению в регистрах бюджетного (бухгалтерского) учета по письменному распоряжению руководителя субъекта централизованного учета, который единолично несет ответственность за созданную в результате этого информацию;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  <w:tab w:val="left" w:pos="1514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- </w:t>
      </w:r>
      <w:r>
        <w:rPr>
          <w:sz w:val="28"/>
          <w:szCs w:val="28"/>
          <w:lang w:val="ru-RU"/>
        </w:rPr>
        <w:t xml:space="preserve">объект бюджетного (бухгалтерского) учета отражается (не отражается) уполномоченной органи</w:t>
      </w:r>
      <w:r>
        <w:rPr>
          <w:sz w:val="28"/>
          <w:szCs w:val="28"/>
          <w:lang w:val="ru-RU"/>
        </w:rPr>
        <w:t xml:space="preserve">зацией в бюджетной (бухгалтерской) отчетности на основании письменного решения руководителя субъекта централизованного учета, который единолично несет ответственность за достоверность представления финансового положения субъекта централизованного учета на </w:t>
      </w:r>
      <w:r>
        <w:rPr>
          <w:sz w:val="28"/>
          <w:szCs w:val="28"/>
          <w:lang w:val="ru-RU"/>
        </w:rPr>
        <w:t xml:space="preserve">отчетную дату, финансового результата его деятельности и движения денежных средств за отчетный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11"/>
        </w:numPr>
        <w:ind w:left="0" w:firstLine="0"/>
        <w:jc w:val="both"/>
        <w:spacing w:before="0" w:after="0" w:line="317" w:lineRule="exact"/>
        <w:shd w:val="clear" w:color="auto" w:fill="auto"/>
        <w:tabs>
          <w:tab w:val="left" w:pos="567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r>
        <w:rPr>
          <w:sz w:val="28"/>
          <w:szCs w:val="28"/>
        </w:rPr>
      </w:r>
      <w:bookmarkEnd w:id="1"/>
      <w:r>
        <w:rPr>
          <w:sz w:val="28"/>
          <w:szCs w:val="28"/>
          <w:lang w:val="ru-RU"/>
        </w:rPr>
        <w:t xml:space="preserve">На дату передачи централизуемых полномочий производится слияние баз данных АС «Смета» субъектов централизованного учета с уполномоченной организац</w:t>
      </w:r>
      <w:r>
        <w:rPr>
          <w:sz w:val="28"/>
          <w:szCs w:val="28"/>
          <w:lang w:val="ru-RU"/>
        </w:rPr>
        <w:t xml:space="preserve">ией, при этом субъекты централизованного учета передают уполномоченной организации по актам приема-передачи копии Главных книг (ОКУД 0504072), Оборотных ведомостей (ОКУД 0504036), сформированных за период с начала отчетного года по дату слияния баз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  <w:tab w:val="left" w:pos="14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  <w:tab w:val="left" w:pos="1471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0" w:after="0" w:line="317" w:lineRule="exact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 w:leader="none"/>
        </w:tabs>
      </w:pPr>
      <w:r/>
      <w:r/>
    </w:p>
    <w:p>
      <w:pPr>
        <w:tabs>
          <w:tab w:val="left" w:pos="1276" w:leader="none"/>
        </w:tabs>
      </w:pPr>
      <w:r/>
      <w:r/>
    </w:p>
    <w:p>
      <w:pPr>
        <w:tabs>
          <w:tab w:val="left" w:pos="1276" w:leader="none"/>
        </w:tabs>
      </w:pPr>
      <w:r/>
      <w:r/>
    </w:p>
    <w:p>
      <w:pPr>
        <w:tabs>
          <w:tab w:val="left" w:pos="1276" w:leader="none"/>
        </w:tabs>
      </w:pPr>
      <w:r/>
      <w:r/>
    </w:p>
    <w:sectPr>
      <w:footnotePr/>
      <w:endnotePr/>
      <w:type w:val="nextPage"/>
      <w:pgSz w:w="11906" w:h="16838" w:orient="portrait"/>
      <w:pgMar w:top="1134" w:right="851" w:bottom="993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5">
    <w:multiLevelType w:val="hybridMultilevel"/>
    <w:lvl w:ilvl="0">
      <w:start w:val="21"/>
      <w:numFmt w:val="bullet"/>
      <w:isLgl w:val="false"/>
      <w:suff w:val="tab"/>
      <w:lvlText w:val="-"/>
      <w:lvlJc w:val="left"/>
      <w:pPr>
        <w:ind w:left="0" w:firstLine="705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5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40" w:hanging="1800"/>
      </w:pPr>
    </w:lvl>
  </w:abstractNum>
  <w:abstractNum w:abstractNumId="7">
    <w:multiLevelType w:val="hybridMultilevel"/>
    <w:lvl w:ilvl="0">
      <w:start w:val="21"/>
      <w:numFmt w:val="bullet"/>
      <w:isLgl w:val="false"/>
      <w:suff w:val="tab"/>
      <w:lvlText w:val="-"/>
      <w:lvlJc w:val="left"/>
      <w:pPr>
        <w:ind w:left="0" w:firstLine="705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9"/>
    <w:link w:val="723"/>
    <w:uiPriority w:val="10"/>
    <w:rPr>
      <w:sz w:val="48"/>
      <w:szCs w:val="48"/>
    </w:rPr>
  </w:style>
  <w:style w:type="character" w:styleId="692">
    <w:name w:val="Subtitle Char"/>
    <w:basedOn w:val="709"/>
    <w:link w:val="725"/>
    <w:uiPriority w:val="11"/>
    <w:rPr>
      <w:sz w:val="24"/>
      <w:szCs w:val="24"/>
    </w:rPr>
  </w:style>
  <w:style w:type="character" w:styleId="693">
    <w:name w:val="Quote Char"/>
    <w:link w:val="727"/>
    <w:uiPriority w:val="29"/>
    <w:rPr>
      <w:i/>
    </w:rPr>
  </w:style>
  <w:style w:type="character" w:styleId="694">
    <w:name w:val="Intense Quote Char"/>
    <w:link w:val="729"/>
    <w:uiPriority w:val="30"/>
    <w:rPr>
      <w:i/>
    </w:rPr>
  </w:style>
  <w:style w:type="character" w:styleId="695">
    <w:name w:val="Header Char"/>
    <w:basedOn w:val="709"/>
    <w:link w:val="731"/>
    <w:uiPriority w:val="99"/>
  </w:style>
  <w:style w:type="character" w:styleId="696">
    <w:name w:val="Caption Char"/>
    <w:basedOn w:val="735"/>
    <w:link w:val="733"/>
    <w:uiPriority w:val="99"/>
  </w:style>
  <w:style w:type="character" w:styleId="697">
    <w:name w:val="Footnote Text Char"/>
    <w:link w:val="864"/>
    <w:uiPriority w:val="99"/>
    <w:rPr>
      <w:sz w:val="18"/>
    </w:rPr>
  </w:style>
  <w:style w:type="character" w:styleId="698">
    <w:name w:val="Endnote Text Char"/>
    <w:link w:val="867"/>
    <w:uiPriority w:val="99"/>
    <w:rPr>
      <w:sz w:val="20"/>
    </w:rPr>
  </w:style>
  <w:style w:type="paragraph" w:styleId="699" w:default="1">
    <w:name w:val="Normal"/>
    <w:qFormat/>
    <w:pPr>
      <w:jc w:val="both"/>
    </w:pPr>
    <w:rPr>
      <w:sz w:val="24"/>
      <w:szCs w:val="24"/>
    </w:rPr>
  </w:style>
  <w:style w:type="paragraph" w:styleId="700">
    <w:name w:val="Heading 1"/>
    <w:basedOn w:val="699"/>
    <w:next w:val="699"/>
    <w:link w:val="712"/>
    <w:qFormat/>
    <w:pPr>
      <w:jc w:val="right"/>
      <w:keepNext/>
      <w:outlineLvl w:val="0"/>
    </w:pPr>
    <w:rPr>
      <w:sz w:val="28"/>
      <w:szCs w:val="28"/>
    </w:rPr>
  </w:style>
  <w:style w:type="paragraph" w:styleId="701">
    <w:name w:val="Heading 2"/>
    <w:basedOn w:val="699"/>
    <w:next w:val="699"/>
    <w:link w:val="713"/>
    <w:qFormat/>
    <w:pPr>
      <w:jc w:val="center"/>
      <w:keepNext/>
      <w:outlineLvl w:val="1"/>
    </w:pPr>
    <w:rPr>
      <w:sz w:val="28"/>
      <w:szCs w:val="28"/>
    </w:rPr>
  </w:style>
  <w:style w:type="paragraph" w:styleId="702">
    <w:name w:val="Heading 3"/>
    <w:basedOn w:val="699"/>
    <w:next w:val="699"/>
    <w:link w:val="714"/>
    <w:qFormat/>
    <w:pPr>
      <w:keepNext/>
      <w:outlineLvl w:val="2"/>
    </w:pPr>
    <w:rPr>
      <w:sz w:val="28"/>
      <w:szCs w:val="28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rPr>
      <w:lang w:eastAsia="zh-CN"/>
    </w:rPr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99"/>
    <w:link w:val="732"/>
    <w:pPr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link w:val="731"/>
    <w:uiPriority w:val="99"/>
  </w:style>
  <w:style w:type="paragraph" w:styleId="733">
    <w:name w:val="Footer"/>
    <w:basedOn w:val="699"/>
    <w:link w:val="736"/>
    <w:pPr>
      <w:tabs>
        <w:tab w:val="center" w:pos="4677" w:leader="none"/>
        <w:tab w:val="right" w:pos="9355" w:leader="none"/>
      </w:tabs>
    </w:pPr>
  </w:style>
  <w:style w:type="character" w:styleId="734" w:customStyle="1">
    <w:name w:val="Footer Char"/>
    <w:uiPriority w:val="99"/>
  </w:style>
  <w:style w:type="paragraph" w:styleId="735">
    <w:name w:val="Caption"/>
    <w:basedOn w:val="699"/>
    <w:next w:val="699"/>
    <w:qFormat/>
    <w:pPr>
      <w:jc w:val="center"/>
    </w:pPr>
    <w:rPr>
      <w:b/>
      <w:bCs/>
      <w:sz w:val="28"/>
    </w:rPr>
  </w:style>
  <w:style w:type="character" w:styleId="736" w:customStyle="1">
    <w:name w:val="Нижний колонтитул Знак"/>
    <w:link w:val="733"/>
    <w:uiPriority w:val="99"/>
  </w:style>
  <w:style w:type="table" w:styleId="737">
    <w:name w:val="Table Grid"/>
    <w:basedOn w:val="710"/>
    <w:tblPr/>
  </w:style>
  <w:style w:type="table" w:styleId="73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>
    <w:name w:val="Hyperlink"/>
    <w:uiPriority w:val="99"/>
    <w:unhideWhenUsed/>
    <w:rPr>
      <w:color w:val="0000ff"/>
      <w:u w:val="single"/>
    </w:rPr>
  </w:style>
  <w:style w:type="paragraph" w:styleId="864">
    <w:name w:val="footnote text"/>
    <w:basedOn w:val="699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699"/>
    <w:link w:val="868"/>
    <w:uiPriority w:val="99"/>
    <w:semiHidden/>
    <w:unhideWhenUsed/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699"/>
    <w:next w:val="699"/>
    <w:uiPriority w:val="39"/>
    <w:unhideWhenUsed/>
    <w:pPr>
      <w:spacing w:after="57"/>
    </w:pPr>
  </w:style>
  <w:style w:type="paragraph" w:styleId="871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2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3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4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5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6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7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8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  <w:rPr>
      <w:lang w:eastAsia="zh-CN"/>
    </w:rPr>
  </w:style>
  <w:style w:type="paragraph" w:styleId="880">
    <w:name w:val="table of figures"/>
    <w:basedOn w:val="699"/>
    <w:next w:val="699"/>
    <w:uiPriority w:val="99"/>
    <w:unhideWhenUsed/>
  </w:style>
  <w:style w:type="paragraph" w:styleId="881">
    <w:name w:val="Body Text"/>
    <w:basedOn w:val="699"/>
    <w:rPr>
      <w:sz w:val="28"/>
    </w:rPr>
  </w:style>
  <w:style w:type="paragraph" w:styleId="882">
    <w:name w:val="Body Text 2"/>
    <w:basedOn w:val="699"/>
    <w:pPr>
      <w:ind w:firstLine="720"/>
    </w:pPr>
    <w:rPr>
      <w:sz w:val="28"/>
      <w:szCs w:val="20"/>
    </w:rPr>
  </w:style>
  <w:style w:type="paragraph" w:styleId="883" w:customStyle="1">
    <w:name w:val="ConsNormal"/>
    <w:pPr>
      <w:ind w:firstLine="720"/>
      <w:widowControl w:val="off"/>
    </w:pPr>
    <w:rPr>
      <w:rFonts w:ascii="Arial" w:hAnsi="Arial"/>
    </w:rPr>
  </w:style>
  <w:style w:type="paragraph" w:styleId="884">
    <w:name w:val="Body Text 3"/>
    <w:basedOn w:val="699"/>
    <w:pPr>
      <w:spacing w:after="120"/>
    </w:pPr>
    <w:rPr>
      <w:sz w:val="16"/>
      <w:szCs w:val="16"/>
    </w:rPr>
  </w:style>
  <w:style w:type="paragraph" w:styleId="885">
    <w:name w:val="Balloon Text"/>
    <w:basedOn w:val="699"/>
    <w:link w:val="886"/>
    <w:rPr>
      <w:rFonts w:ascii="Tahoma" w:hAnsi="Tahoma"/>
      <w:sz w:val="16"/>
      <w:szCs w:val="16"/>
      <w:lang w:val="en-US" w:eastAsia="en-US"/>
    </w:rPr>
  </w:style>
  <w:style w:type="character" w:styleId="886" w:customStyle="1">
    <w:name w:val="Текст выноски Знак"/>
    <w:link w:val="885"/>
    <w:rPr>
      <w:rFonts w:ascii="Tahoma" w:hAnsi="Tahoma" w:cs="Tahoma"/>
      <w:sz w:val="16"/>
      <w:szCs w:val="16"/>
    </w:rPr>
  </w:style>
  <w:style w:type="character" w:styleId="887" w:customStyle="1">
    <w:name w:val="fill"/>
    <w:basedOn w:val="709"/>
  </w:style>
  <w:style w:type="character" w:styleId="888" w:customStyle="1">
    <w:name w:val="Основной текст (2)_"/>
    <w:link w:val="890"/>
    <w:rPr>
      <w:sz w:val="26"/>
      <w:szCs w:val="26"/>
      <w:shd w:val="clear" w:color="auto" w:fill="ffffff"/>
    </w:rPr>
  </w:style>
  <w:style w:type="character" w:styleId="889" w:customStyle="1">
    <w:name w:val="Основной текст (2) + 14 pt"/>
    <w:rPr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890" w:customStyle="1">
    <w:name w:val="Основной текст (2)"/>
    <w:basedOn w:val="699"/>
    <w:link w:val="888"/>
    <w:pPr>
      <w:jc w:val="left"/>
      <w:spacing w:before="660" w:after="600" w:line="331" w:lineRule="exact"/>
      <w:shd w:val="clear" w:color="auto" w:fill="ffffff"/>
      <w:widowControl w:val="off"/>
    </w:pPr>
    <w:rPr>
      <w:sz w:val="26"/>
      <w:szCs w:val="26"/>
      <w:lang w:val="en-US" w:eastAsia="en-US"/>
    </w:rPr>
  </w:style>
  <w:style w:type="character" w:styleId="89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892" w:customStyle="1">
    <w:name w:val="Основной текст (2) + Lucida Sans Unicode;12 pt"/>
    <w:rPr>
      <w:rFonts w:ascii="Lucida Sans Unicode" w:hAnsi="Lucida Sans Unicode" w:eastAsia="Lucida Sans Unicode" w:cs="Lucida Sans Unicode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893" w:customStyle="1">
    <w:name w:val="Основной текст (2) + 14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894" w:customStyle="1">
    <w:name w:val="Основной текст (2) + Tahoma;10 pt"/>
    <w:rPr>
      <w:rFonts w:ascii="Tahoma" w:hAnsi="Tahoma" w:eastAsia="Tahoma" w:cs="Tahoma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895" w:customStyle="1">
    <w:name w:val="Основной текст (2) + 10 pt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896" w:customStyle="1">
    <w:name w:val="Основной текст (2) + 7 pt"/>
    <w:rPr>
      <w:rFonts w:ascii="Times New Roman" w:hAnsi="Times New Roman" w:eastAsia="Times New Roman" w:cs="Times New Roman"/>
      <w:color w:val="000000"/>
      <w:spacing w:val="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897">
    <w:name w:val="annotation reference"/>
    <w:rPr>
      <w:sz w:val="16"/>
      <w:szCs w:val="16"/>
    </w:rPr>
  </w:style>
  <w:style w:type="paragraph" w:styleId="898">
    <w:name w:val="annotation text"/>
    <w:basedOn w:val="699"/>
    <w:link w:val="899"/>
    <w:rPr>
      <w:sz w:val="20"/>
      <w:szCs w:val="20"/>
    </w:rPr>
  </w:style>
  <w:style w:type="character" w:styleId="899" w:customStyle="1">
    <w:name w:val="Текст примечания Знак"/>
    <w:basedOn w:val="709"/>
    <w:link w:val="898"/>
  </w:style>
  <w:style w:type="paragraph" w:styleId="900">
    <w:name w:val="annotation subject"/>
    <w:basedOn w:val="898"/>
    <w:next w:val="898"/>
    <w:link w:val="901"/>
    <w:rPr>
      <w:b/>
      <w:bCs/>
      <w:lang w:val="en-US" w:eastAsia="en-US"/>
    </w:rPr>
  </w:style>
  <w:style w:type="character" w:styleId="901" w:customStyle="1">
    <w:name w:val="Тема примечания Знак"/>
    <w:link w:val="900"/>
    <w:rPr>
      <w:b/>
      <w:bCs/>
    </w:rPr>
  </w:style>
  <w:style w:type="table" w:styleId="902" w:customStyle="1">
    <w:name w:val="Сетка таблицы1"/>
    <w:basedOn w:val="710"/>
    <w:next w:val="737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 Баганского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revision>13</cp:revision>
  <dcterms:created xsi:type="dcterms:W3CDTF">2023-03-16T13:27:00Z</dcterms:created>
  <dcterms:modified xsi:type="dcterms:W3CDTF">2024-04-03T08:07:48Z</dcterms:modified>
  <cp:version>1048576</cp:version>
</cp:coreProperties>
</file>