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20395"/>
                <wp:effectExtent l="0" t="0" r="6985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1289045" name="Picture 1" descr="kochkov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64514" cy="620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5pt;height:48.8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АДМИНИСТРАЦИЯ   </w:t>
      </w:r>
      <w:r>
        <w:rPr>
          <w:rFonts w:eastAsia="Times New Roman"/>
          <w:b/>
          <w:bCs/>
          <w:sz w:val="28"/>
          <w:szCs w:val="28"/>
        </w:rPr>
        <w:t xml:space="preserve">КОЧКОВСКОГО  РАЙОНА</w:t>
      </w:r>
      <w:r>
        <w:rPr>
          <w:rFonts w:eastAsia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НОВОСИБИРСКОЙ ОБЛАСТИ</w:t>
      </w:r>
      <w:r>
        <w:rPr>
          <w:rFonts w:eastAsia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  <w:r>
        <w:rPr>
          <w:rFonts w:eastAsia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ПОСТАНОВЛЕНИЕ</w:t>
      </w:r>
      <w:r>
        <w:rPr>
          <w:rFonts w:eastAsia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  <w:r>
        <w:rPr>
          <w:rFonts w:eastAsia="Times New Roman"/>
          <w:b/>
          <w:bCs/>
          <w:sz w:val="28"/>
          <w:szCs w:val="28"/>
        </w:rPr>
      </w:r>
    </w:p>
    <w:p>
      <w:pPr>
        <w:jc w:val="center"/>
        <w:keepNext/>
        <w:spacing w:after="0" w:line="240" w:lineRule="auto"/>
        <w:rPr>
          <w:rFonts w:eastAsia="Times New Roman"/>
          <w:b/>
          <w:bCs/>
          <w:sz w:val="28"/>
          <w:szCs w:val="28"/>
        </w:rPr>
        <w:outlineLvl w:val="3"/>
      </w:pPr>
      <w:r>
        <w:rPr>
          <w:rFonts w:eastAsia="Times New Roman"/>
          <w:b/>
          <w:bCs/>
          <w:sz w:val="28"/>
          <w:szCs w:val="28"/>
        </w:rPr>
        <w:t xml:space="preserve">от   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25</w:t>
      </w:r>
      <w:r>
        <w:rPr>
          <w:rFonts w:eastAsia="Times New Roman"/>
          <w:b/>
          <w:bCs/>
          <w:sz w:val="28"/>
          <w:szCs w:val="28"/>
        </w:rPr>
        <w:t xml:space="preserve">.03.2024    </w:t>
      </w:r>
      <w:r>
        <w:rPr>
          <w:rFonts w:eastAsia="Times New Roman"/>
          <w:b/>
          <w:bCs/>
          <w:sz w:val="28"/>
          <w:szCs w:val="28"/>
        </w:rPr>
        <w:t xml:space="preserve">№ 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203</w:t>
      </w:r>
      <w:r>
        <w:rPr>
          <w:rFonts w:eastAsia="Times New Roman"/>
          <w:b/>
          <w:bCs/>
          <w:sz w:val="28"/>
          <w:szCs w:val="28"/>
        </w:rPr>
        <w:t xml:space="preserve"> -па  </w:t>
      </w:r>
      <w:r>
        <w:rPr>
          <w:rFonts w:eastAsia="Times New Roman"/>
          <w:b/>
          <w:bCs/>
          <w:sz w:val="28"/>
          <w:szCs w:val="28"/>
        </w:rPr>
      </w:r>
    </w:p>
    <w:p>
      <w:pPr>
        <w:jc w:val="center"/>
        <w:keepNext/>
        <w:spacing w:after="0" w:line="240" w:lineRule="auto"/>
        <w:rPr>
          <w:rFonts w:eastAsia="Times New Roman"/>
          <w:b/>
          <w:bCs/>
          <w:sz w:val="28"/>
          <w:szCs w:val="28"/>
        </w:rPr>
        <w:outlineLvl w:val="3"/>
      </w:pPr>
      <w:r>
        <w:rPr>
          <w:rFonts w:eastAsia="Times New Roman"/>
          <w:b/>
          <w:bCs/>
          <w:sz w:val="28"/>
          <w:szCs w:val="28"/>
        </w:rPr>
      </w:r>
      <w:r>
        <w:rPr>
          <w:rFonts w:eastAsia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line="240" w:lineRule="auto"/>
        <w:widowControl w:val="off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Об утверждении Плана мероприятий («дорожной карты») по сокращению просроченной дебиторской задолженности по платежам, формирующим доходную часть бюджета Кочковско</w:t>
      </w:r>
      <w:r>
        <w:rPr>
          <w:rFonts w:eastAsia="SimSun"/>
          <w:b/>
          <w:sz w:val="28"/>
          <w:szCs w:val="28"/>
        </w:rPr>
        <w:t xml:space="preserve">го района Новосибирской области</w:t>
      </w:r>
      <w:r>
        <w:rPr>
          <w:rFonts w:eastAsia="SimSun"/>
          <w:b/>
          <w:sz w:val="28"/>
          <w:szCs w:val="28"/>
        </w:rPr>
        <w:t xml:space="preserve">, и принятию эффективн</w:t>
      </w:r>
      <w:bookmarkStart w:id="0" w:name="_GoBack"/>
      <w:r/>
      <w:bookmarkEnd w:id="0"/>
      <w:r>
        <w:rPr>
          <w:rFonts w:eastAsia="SimSun"/>
          <w:b/>
          <w:sz w:val="28"/>
          <w:szCs w:val="28"/>
        </w:rPr>
        <w:t xml:space="preserve">ых мер по ее урегулированию</w:t>
      </w:r>
      <w:r>
        <w:rPr>
          <w:rFonts w:eastAsia="SimSu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соответс</w:t>
      </w:r>
      <w:r>
        <w:rPr>
          <w:rFonts w:eastAsia="SimSun"/>
          <w:sz w:val="28"/>
          <w:szCs w:val="28"/>
        </w:rPr>
        <w:t xml:space="preserve">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</w:t>
      </w:r>
      <w:r>
        <w:rPr>
          <w:rFonts w:eastAsia="SimSun"/>
          <w:sz w:val="28"/>
          <w:szCs w:val="28"/>
        </w:rPr>
        <w:t xml:space="preserve">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</w:r>
    </w:p>
    <w:p>
      <w:pPr>
        <w:jc w:val="both"/>
        <w:spacing w:after="0" w:line="2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ПОСТАНОВЛЯ</w:t>
      </w:r>
      <w:r>
        <w:rPr>
          <w:rFonts w:eastAsia="Times New Roman"/>
          <w:sz w:val="28"/>
          <w:szCs w:val="28"/>
        </w:rPr>
        <w:t xml:space="preserve">Ю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</w:rPr>
      </w:r>
    </w:p>
    <w:p>
      <w:pPr>
        <w:jc w:val="both"/>
        <w:spacing w:after="0" w:line="2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</w:t>
      </w:r>
      <w:r>
        <w:rPr>
          <w:rFonts w:eastAsia="Times New Roman"/>
          <w:sz w:val="28"/>
          <w:szCs w:val="28"/>
        </w:rPr>
        <w:t xml:space="preserve">Утвердить </w:t>
      </w:r>
      <w:r>
        <w:rPr>
          <w:rFonts w:eastAsia="Times New Roman"/>
          <w:sz w:val="28"/>
          <w:szCs w:val="28"/>
        </w:rPr>
        <w:t xml:space="preserve">прилагаемый </w:t>
      </w:r>
      <w:r>
        <w:rPr>
          <w:rFonts w:eastAsia="Times New Roman"/>
          <w:sz w:val="28"/>
          <w:szCs w:val="28"/>
        </w:rPr>
        <w:t xml:space="preserve">План мероприятий («дорожную карту») по сокращению просроченной дебиторской задолженности по платежам, формирующим доходную часть бюджета Кочковского района Новосибирской области, и принятию эффективных мер по ее урег</w:t>
      </w:r>
      <w:r>
        <w:rPr>
          <w:rFonts w:eastAsia="Times New Roman"/>
          <w:sz w:val="28"/>
          <w:szCs w:val="28"/>
        </w:rPr>
        <w:t xml:space="preserve">улированию (далее – План мероприятий)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eastAsia="Times New Roman" w:cs="Liberation Serif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Кочковского района Новосибирской области </w:t>
      </w:r>
      <w:r>
        <w:rPr>
          <w:sz w:val="28"/>
          <w:szCs w:val="28"/>
        </w:rPr>
        <w:t xml:space="preserve">М.В.Белоус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ascii="Liberation Serif" w:hAnsi="Liberation Serif" w:eastAsia="Times New Roman" w:cs="Liberation Serif"/>
          <w:sz w:val="27"/>
          <w:szCs w:val="27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 главы Кочковского района</w:t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Новосибирской области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</w:t>
      </w:r>
      <w:r>
        <w:rPr>
          <w:rFonts w:eastAsia="Times New Roman"/>
          <w:sz w:val="28"/>
          <w:szCs w:val="28"/>
        </w:rPr>
        <w:t xml:space="preserve">Ю.В. Чубаров</w:t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исп.Голубева О.А.</w:t>
      </w:r>
      <w:r>
        <w:rPr>
          <w:rFonts w:eastAsia="Times New Roman"/>
        </w:rPr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8 38356 22822</w:t>
      </w:r>
      <w:r>
        <w:rPr>
          <w:rFonts w:eastAsia="Times New Roman"/>
        </w:rPr>
      </w:r>
      <w:r/>
    </w:p>
    <w:p>
      <w:pPr>
        <w:spacing w:after="0" w:line="240" w:lineRule="auto"/>
        <w:rPr>
          <w:rFonts w:eastAsia="Times New Roman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2"/>
          <w:cols w:num="1" w:sep="0" w:space="708" w:equalWidth="1"/>
          <w:docGrid w:linePitch="360"/>
        </w:sect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spacing w:after="0" w:line="240" w:lineRule="auto"/>
        <w:rPr>
          <w:rFonts w:eastAsia="Times New Roman"/>
          <w:b/>
          <w:sz w:val="24"/>
          <w:szCs w:val="24"/>
        </w:rPr>
        <w:outlineLvl w:val="0"/>
      </w:pP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tbl>
      <w:tblPr>
        <w:tblW w:w="146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  <w:gridCol w:w="4536"/>
      </w:tblGrid>
      <w:tr>
        <w:tblPrEx/>
        <w:trPr>
          <w:trHeight w:val="3397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006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r>
          </w:p>
          <w:p>
            <w:pPr>
              <w:jc w:val="right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Приложение к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постановлени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ю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администрации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Кочковского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14742" w:leader="none"/>
              </w:tabs>
              <w:rPr>
                <w:rFonts w:ascii="Liberation Serif" w:hAnsi="Liberation Serif"/>
                <w:color w:val="ff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</w:t>
            </w:r>
            <w:r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.03.2024 №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203 - па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«Об утверждении Плана мероприятий («дорожной карты») по сокращению просроченной дебиторской задолженности по платежам, формирующим доходную часть бюджета Кочковского района Новосибирской области, и принятию эффективных мер по ее урегулированию»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План мер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оприятий («дорожная карта»)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по сокращению просроченной дебиторской задолженности по платежам, формирующим доходную часть бюджета </w:t>
      </w:r>
      <w:r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Кочковского района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Новосибирской области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, и принятию эффективных мер по ее урегулированию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sz w:val="2"/>
          <w:szCs w:val="2"/>
          <w:lang w:eastAsia="en-US"/>
        </w:rPr>
      </w:pPr>
      <w:r>
        <w:rPr>
          <w:rFonts w:ascii="Liberation Serif" w:hAnsi="Liberation Serif" w:cs="Liberation Serif"/>
          <w:sz w:val="2"/>
          <w:szCs w:val="2"/>
          <w:lang w:eastAsia="en-US"/>
        </w:rPr>
      </w:r>
      <w:r>
        <w:rPr>
          <w:rFonts w:ascii="Liberation Serif" w:hAnsi="Liberation Serif" w:cs="Liberation Serif"/>
          <w:sz w:val="2"/>
          <w:szCs w:val="2"/>
          <w:lang w:eastAsia="en-US"/>
        </w:rPr>
      </w:r>
    </w:p>
    <w:tbl>
      <w:tblPr>
        <w:tblW w:w="1474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8"/>
        <w:gridCol w:w="3374"/>
        <w:gridCol w:w="28"/>
        <w:gridCol w:w="4536"/>
        <w:gridCol w:w="2694"/>
        <w:gridCol w:w="2943"/>
      </w:tblGrid>
      <w:tr>
        <w:tblPrEx/>
        <w:trPr>
          <w:trHeight w:val="596"/>
        </w:trPr>
        <w:tc>
          <w:tcPr>
            <w:gridSpan w:val="7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68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Номер строки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Наименование мероприятия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Исполнители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Рекомендуемый срок исполнения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Ожидаемый результат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6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19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1. Анализ состояния дебиторской задолженности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Инвентаризация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ежеквартально, не позднее 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-го числа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месяца,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следующего за отчетным периодом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выявление и отражение в бюджетном учете по итогам инвентаризации сумм текущей, просроченной и долгосрочной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дебиторской задолженности в зависимости от сроков уплаты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Анализ просроченной дебиторской задолж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енности по результатам проведенной инвентаризации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ежеквартально, не позднее 25-го числа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месяца,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следующего за отчетным периодом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выявление сумм просроченной деби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1.3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Принятие решения о признании безнадежной к взысканию задолженности по платежам в бюджет и о ее списании (восстановлении) в соответствии со статьей 47 Бюджетного кодекса Российской Федерации. 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ежеквартально, не позднее 20-го числа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месяца,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следующего за отчетным периодом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актуализация информации о подлежащей взысканию дебиторской задолженности и сокращение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8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.4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ежеквартально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актуализация информации о дебиторской задолженности, подлежащей взысканию, и сокращение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07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2. Мероприятия, направленные на недопущение образования и роста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2.1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Мониторинг состояния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ежемесячно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актуализация информации о дебиторской задолженности, подлежащей взысканию, и сокращение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2.2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Индивидуальная работа с контрагентами, нарушающими финансовую дисциплину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 постоянной основе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недопущение образования (роста)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2.3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Проведение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работы с контрагентами, допускающими нарушение сро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ков оплаты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ежеквартально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сокращение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2.4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Обеспечение контроля за правильностью исчисления, полнотой и своевременностью осуществления платежей, пеням и штрафам по ним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постоянном режиме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недопущение об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разования (роста)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2.5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Мониторинг финансового (платежного) состояния должников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ежемесячно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своевременное принятие мер по взысканию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29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3. Мероприятия, направленные на погашение (сокращение) просроченной дебиторской задолженности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3.1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Составление графика погашения просроченной дебиторской задолженности в разрезе контрагентов, имеющих наиболее крупные суммы задолженности.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ежеквартально, не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позднее 20-го числа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месяца,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следующего за отчетным периодом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3.2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Направление должникам претензий (требований) о необходимости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внесения платежей в случае образования просроченной дебиторской задолженности.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 позднее 30 календарных дней со дня образования просроченной дебиторской задо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3.3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постоянном режиме, по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мере образования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погашение образовавшейся задолженности в досудебном порядке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3.4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Контроль поступления платежей по претензиям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постоянном режиме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с момента направления требования (претензии) до момента погашения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сокращение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97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4. Мероприятия, направленные на принудительное взыскание просроченной дебиторской задолженности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Направление исковых заявлений о взыскании просроченной дебиторской задолженности.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 позднее 30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предотвращение формирования сумм просроченной деби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постоянном режиме, с момента передачи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оплата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поступила  до момента подачи искового заявления в суд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своевременное осуществление исковых мероприятий, направленных на взыскание денежных средств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4.3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Судебных актов о полном (частичном) отказе в удовлетворении заявленных требований при наличии к тому оснований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течение установленного законодательством процессуального срока для обжалования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своевременное обжалование судебных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актов и взыскания денежных средств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Направление исполнительных документов в службу судебных приставов.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 позднее 30 календарных дней с момента получения исполнительного до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кумента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принудительное исполнение судебных актов о взыскании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роизводства в Банке данных исполнительных производств на сайте Федеральной службы судебных приставов России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постоянном режиме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обеспечение своевременного взыс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кания денежных средств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4.6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Администраторы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ежеквартально, не позднее 25-го числа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месяца,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следующего за отчетным периодом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своевременное исполнение судебных актов о взыскании просроченной дебиторской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38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5.1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постоянном режиме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обеспечение своевременного взыскания денежных средств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5.2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4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Кочковского района Новосибирской об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ласти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постоянном режиме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обеспечение своевременного взыскания денежных средств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>
        <w:tblPrEx/>
        <w:trPr>
          <w:trHeight w:val="226"/>
          <w:tblHeader/>
        </w:trPr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570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</w:r>
          </w:p>
        </w:tc>
      </w:tr>
    </w:tbl>
    <w:p>
      <w:r/>
      <w:r/>
    </w:p>
    <w:sectPr>
      <w:headerReference w:type="default" r:id="rId10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Liberation Serif" w:hAnsi="Liberation Serif" w:cs="Liberation Serif"/>
        <w:sz w:val="24"/>
        <w:szCs w:val="24"/>
      </w:rPr>
    </w:pPr>
    <w:r>
      <w:rPr>
        <w:rFonts w:ascii="Liberation Serif" w:hAnsi="Liberation Serif" w:cs="Liberation Serif"/>
        <w:sz w:val="24"/>
        <w:szCs w:val="24"/>
      </w:rPr>
    </w:r>
    <w:r>
      <w:rPr>
        <w:rFonts w:ascii="Liberation Serif" w:hAnsi="Liberation Serif" w:cs="Liberation Serif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sz w:val="24"/>
        <w:szCs w:val="24"/>
      </w:rPr>
    </w:pPr>
    <w:r>
      <w:rPr>
        <w:sz w:val="24"/>
        <w:szCs w:val="24"/>
      </w:rPr>
      <w:t xml:space="preserve">12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5"/>
    <w:link w:val="699"/>
    <w:uiPriority w:val="10"/>
    <w:rPr>
      <w:sz w:val="48"/>
      <w:szCs w:val="48"/>
    </w:rPr>
  </w:style>
  <w:style w:type="character" w:styleId="37">
    <w:name w:val="Subtitle Char"/>
    <w:basedOn w:val="685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47">
    <w:name w:val="Caption Char"/>
    <w:basedOn w:val="710"/>
    <w:link w:val="708"/>
    <w:uiPriority w:val="99"/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5" w:default="1">
    <w:name w:val="Normal"/>
    <w:qFormat/>
    <w:pPr>
      <w:spacing w:after="200" w:line="276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75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after="0" w:line="240" w:lineRule="auto"/>
    </w:pPr>
  </w:style>
  <w:style w:type="paragraph" w:styleId="699">
    <w:name w:val="Title"/>
    <w:basedOn w:val="675"/>
    <w:next w:val="675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basedOn w:val="685"/>
    <w:link w:val="699"/>
    <w:uiPriority w:val="10"/>
    <w:rPr>
      <w:sz w:val="48"/>
      <w:szCs w:val="48"/>
    </w:rPr>
  </w:style>
  <w:style w:type="paragraph" w:styleId="701">
    <w:name w:val="Subtitle"/>
    <w:basedOn w:val="675"/>
    <w:next w:val="675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basedOn w:val="685"/>
    <w:link w:val="701"/>
    <w:uiPriority w:val="11"/>
    <w:rPr>
      <w:sz w:val="24"/>
      <w:szCs w:val="24"/>
    </w:rPr>
  </w:style>
  <w:style w:type="paragraph" w:styleId="703">
    <w:name w:val="Quote"/>
    <w:basedOn w:val="675"/>
    <w:next w:val="675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5"/>
    <w:next w:val="675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85"/>
    <w:uiPriority w:val="99"/>
  </w:style>
  <w:style w:type="paragraph" w:styleId="708">
    <w:name w:val="Footer"/>
    <w:basedOn w:val="675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85"/>
    <w:uiPriority w:val="99"/>
  </w:style>
  <w:style w:type="paragraph" w:styleId="710">
    <w:name w:val="Caption"/>
    <w:basedOn w:val="675"/>
    <w:next w:val="67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2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6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6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9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3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7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563c1" w:themeColor="hyperlink"/>
      <w:u w:val="single"/>
    </w:rPr>
  </w:style>
  <w:style w:type="paragraph" w:styleId="839">
    <w:name w:val="footnote text"/>
    <w:basedOn w:val="67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5"/>
    <w:uiPriority w:val="99"/>
    <w:unhideWhenUsed/>
    <w:rPr>
      <w:vertAlign w:val="superscript"/>
    </w:rPr>
  </w:style>
  <w:style w:type="paragraph" w:styleId="842">
    <w:name w:val="endnote text"/>
    <w:basedOn w:val="675"/>
    <w:link w:val="843"/>
    <w:uiPriority w:val="99"/>
    <w:semiHidden/>
    <w:unhideWhenUsed/>
    <w:pPr>
      <w:spacing w:after="0" w:line="240" w:lineRule="auto"/>
    </w:p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5"/>
    <w:uiPriority w:val="99"/>
    <w:semiHidden/>
    <w:unhideWhenUsed/>
    <w:rPr>
      <w:vertAlign w:val="superscript"/>
    </w:rPr>
  </w:style>
  <w:style w:type="paragraph" w:styleId="845">
    <w:name w:val="toc 1"/>
    <w:basedOn w:val="675"/>
    <w:next w:val="675"/>
    <w:uiPriority w:val="39"/>
    <w:unhideWhenUsed/>
    <w:pPr>
      <w:spacing w:after="57"/>
    </w:pPr>
  </w:style>
  <w:style w:type="paragraph" w:styleId="846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7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8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9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50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1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2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3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5"/>
    <w:next w:val="675"/>
    <w:uiPriority w:val="99"/>
    <w:unhideWhenUsed/>
    <w:pPr>
      <w:spacing w:after="0"/>
    </w:pPr>
  </w:style>
  <w:style w:type="paragraph" w:styleId="856">
    <w:name w:val="Header"/>
    <w:basedOn w:val="675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685"/>
    <w:link w:val="856"/>
    <w:uiPriority w:val="99"/>
    <w:rPr>
      <w:rFonts w:ascii="Times New Roman" w:hAnsi="Times New Roman" w:eastAsia="Calibri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golubeva_oa</dc:creator>
  <cp:keywords/>
  <dc:description/>
  <cp:revision>4</cp:revision>
  <dcterms:created xsi:type="dcterms:W3CDTF">2024-03-25T02:02:00Z</dcterms:created>
  <dcterms:modified xsi:type="dcterms:W3CDTF">2024-03-26T08:57:08Z</dcterms:modified>
</cp:coreProperties>
</file>